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5D1" w:rsidRDefault="005056FB">
      <w:pPr>
        <w:spacing w:after="210" w:line="259" w:lineRule="auto"/>
        <w:ind w:left="2439" w:right="0" w:hanging="2174"/>
        <w:jc w:val="left"/>
      </w:pPr>
      <w:r>
        <w:rPr>
          <w:b/>
          <w:sz w:val="34"/>
        </w:rPr>
        <w:t>Direct profiling of genome-wide dCas9 and Cas9 specificity using ssDNA mapping (CasKAS)</w:t>
      </w:r>
    </w:p>
    <w:p w:rsidR="006905D1" w:rsidRDefault="005056FB">
      <w:pPr>
        <w:spacing w:after="0" w:line="259" w:lineRule="auto"/>
        <w:ind w:left="223" w:right="0" w:hanging="10"/>
        <w:jc w:val="left"/>
      </w:pPr>
      <w:r>
        <w:rPr>
          <w:rFonts w:ascii="Calibri" w:eastAsia="Calibri" w:hAnsi="Calibri" w:cs="Calibri"/>
        </w:rPr>
        <w:t>Georgi K. Marinov</w:t>
      </w:r>
      <w:r>
        <w:rPr>
          <w:vertAlign w:val="superscript"/>
        </w:rPr>
        <w:t>1,#</w:t>
      </w:r>
      <w:r>
        <w:rPr>
          <w:rFonts w:ascii="Calibri" w:eastAsia="Calibri" w:hAnsi="Calibri" w:cs="Calibri"/>
        </w:rPr>
        <w:t>, Samuel H. Kim</w:t>
      </w:r>
      <w:r>
        <w:rPr>
          <w:vertAlign w:val="superscript"/>
        </w:rPr>
        <w:t>2</w:t>
      </w:r>
      <w:r>
        <w:rPr>
          <w:rFonts w:ascii="Calibri" w:eastAsia="Calibri" w:hAnsi="Calibri" w:cs="Calibri"/>
        </w:rPr>
        <w:t>, S. Tansu Bagdatli</w:t>
      </w:r>
      <w:r>
        <w:rPr>
          <w:vertAlign w:val="superscript"/>
        </w:rPr>
        <w:t>1</w:t>
      </w:r>
      <w:r>
        <w:rPr>
          <w:rFonts w:ascii="Calibri" w:eastAsia="Calibri" w:hAnsi="Calibri" w:cs="Calibri"/>
        </w:rPr>
        <w:t>, Alexandro E. Trevino</w:t>
      </w:r>
      <w:r>
        <w:rPr>
          <w:vertAlign w:val="superscript"/>
        </w:rPr>
        <w:t>3,4</w:t>
      </w:r>
      <w:r>
        <w:rPr>
          <w:rFonts w:ascii="Calibri" w:eastAsia="Calibri" w:hAnsi="Calibri" w:cs="Calibri"/>
        </w:rPr>
        <w:t>, Josh Tycko</w:t>
      </w:r>
      <w:r>
        <w:rPr>
          <w:vertAlign w:val="superscript"/>
        </w:rPr>
        <w:t>1</w:t>
      </w:r>
      <w:r>
        <w:rPr>
          <w:rFonts w:ascii="Calibri" w:eastAsia="Calibri" w:hAnsi="Calibri" w:cs="Calibri"/>
        </w:rPr>
        <w:t>,</w:t>
      </w:r>
    </w:p>
    <w:p w:rsidR="006905D1" w:rsidRDefault="005056FB">
      <w:pPr>
        <w:spacing w:after="0" w:line="259" w:lineRule="auto"/>
        <w:ind w:left="-5" w:right="0" w:hanging="10"/>
        <w:jc w:val="left"/>
      </w:pPr>
      <w:r>
        <w:rPr>
          <w:rFonts w:ascii="Calibri" w:eastAsia="Calibri" w:hAnsi="Calibri" w:cs="Calibri"/>
        </w:rPr>
        <w:t>Tong Wu</w:t>
      </w:r>
      <w:r>
        <w:rPr>
          <w:vertAlign w:val="superscript"/>
        </w:rPr>
        <w:t>5</w:t>
      </w:r>
      <w:r>
        <w:rPr>
          <w:rFonts w:ascii="Calibri" w:eastAsia="Calibri" w:hAnsi="Calibri" w:cs="Calibri"/>
        </w:rPr>
        <w:t>, Lacramioara Bintu</w:t>
      </w:r>
      <w:r>
        <w:rPr>
          <w:vertAlign w:val="superscript"/>
        </w:rPr>
        <w:t>4</w:t>
      </w:r>
      <w:r>
        <w:rPr>
          <w:rFonts w:ascii="Calibri" w:eastAsia="Calibri" w:hAnsi="Calibri" w:cs="Calibri"/>
        </w:rPr>
        <w:t>, Michael C. Bassik</w:t>
      </w:r>
      <w:r>
        <w:rPr>
          <w:vertAlign w:val="superscript"/>
        </w:rPr>
        <w:t>1</w:t>
      </w:r>
      <w:proofErr w:type="gramStart"/>
      <w:r>
        <w:rPr>
          <w:vertAlign w:val="superscript"/>
        </w:rPr>
        <w:t>,6</w:t>
      </w:r>
      <w:proofErr w:type="gramEnd"/>
      <w:r>
        <w:rPr>
          <w:rFonts w:ascii="Calibri" w:eastAsia="Calibri" w:hAnsi="Calibri" w:cs="Calibri"/>
        </w:rPr>
        <w:t>, Chuan He</w:t>
      </w:r>
      <w:r>
        <w:rPr>
          <w:vertAlign w:val="superscript"/>
        </w:rPr>
        <w:t>5,7,8</w:t>
      </w:r>
      <w:r>
        <w:rPr>
          <w:rFonts w:ascii="Calibri" w:eastAsia="Calibri" w:hAnsi="Calibri" w:cs="Calibri"/>
        </w:rPr>
        <w:t>, Anshul Kundaje</w:t>
      </w:r>
      <w:r>
        <w:rPr>
          <w:vertAlign w:val="superscript"/>
        </w:rPr>
        <w:t>1,9</w:t>
      </w:r>
      <w:r>
        <w:rPr>
          <w:rFonts w:ascii="Calibri" w:eastAsia="Calibri" w:hAnsi="Calibri" w:cs="Calibri"/>
        </w:rPr>
        <w:t>, and William J.</w:t>
      </w:r>
    </w:p>
    <w:p w:rsidR="006905D1" w:rsidRDefault="005056FB">
      <w:pPr>
        <w:spacing w:after="170" w:line="259" w:lineRule="auto"/>
        <w:ind w:left="245" w:right="380" w:hanging="10"/>
        <w:jc w:val="center"/>
      </w:pPr>
      <w:r>
        <w:rPr>
          <w:rFonts w:ascii="Calibri" w:eastAsia="Calibri" w:hAnsi="Calibri" w:cs="Calibri"/>
        </w:rPr>
        <w:t>Greenleaf</w:t>
      </w:r>
      <w:r>
        <w:rPr>
          <w:sz w:val="14"/>
        </w:rPr>
        <w:t>1</w:t>
      </w:r>
      <w:proofErr w:type="gramStart"/>
      <w:r>
        <w:rPr>
          <w:sz w:val="14"/>
        </w:rPr>
        <w:t>,10,11,12</w:t>
      </w:r>
      <w:proofErr w:type="gramEnd"/>
      <w:r>
        <w:rPr>
          <w:sz w:val="14"/>
        </w:rPr>
        <w:t>,#</w:t>
      </w:r>
    </w:p>
    <w:p w:rsidR="006905D1" w:rsidRDefault="005056FB">
      <w:pPr>
        <w:spacing w:after="0" w:line="259" w:lineRule="auto"/>
        <w:ind w:left="1507" w:right="0" w:hanging="10"/>
        <w:jc w:val="left"/>
      </w:pPr>
      <w:r>
        <w:rPr>
          <w:sz w:val="12"/>
        </w:rPr>
        <w:t>1</w:t>
      </w:r>
    </w:p>
    <w:p w:rsidR="006905D1" w:rsidRDefault="005056FB">
      <w:pPr>
        <w:spacing w:after="0" w:line="265" w:lineRule="auto"/>
        <w:ind w:left="32" w:right="73" w:hanging="10"/>
        <w:jc w:val="center"/>
      </w:pPr>
      <w:r>
        <w:rPr>
          <w:i/>
          <w:sz w:val="18"/>
        </w:rPr>
        <w:t>Department of Genetics, School of Medicine, Stanford University, Stanford, CA 94305, USA</w:t>
      </w:r>
    </w:p>
    <w:p w:rsidR="006905D1" w:rsidRDefault="005056FB">
      <w:pPr>
        <w:spacing w:after="0" w:line="259" w:lineRule="auto"/>
        <w:ind w:left="1447" w:right="0" w:hanging="10"/>
        <w:jc w:val="left"/>
      </w:pPr>
      <w:r>
        <w:rPr>
          <w:sz w:val="12"/>
        </w:rPr>
        <w:t>2</w:t>
      </w:r>
    </w:p>
    <w:p w:rsidR="006905D1" w:rsidRDefault="005056FB">
      <w:pPr>
        <w:spacing w:after="0" w:line="265" w:lineRule="auto"/>
        <w:ind w:left="32" w:right="73" w:hanging="10"/>
        <w:jc w:val="center"/>
      </w:pPr>
      <w:r>
        <w:rPr>
          <w:i/>
          <w:sz w:val="18"/>
        </w:rPr>
        <w:t>Cancer Biology Programs, School of Medicine, Stanford University, Stanford, CA 94305, USA</w:t>
      </w:r>
    </w:p>
    <w:p w:rsidR="006905D1" w:rsidRDefault="005056FB">
      <w:pPr>
        <w:spacing w:after="0" w:line="259" w:lineRule="auto"/>
        <w:ind w:left="1637" w:right="0" w:hanging="10"/>
        <w:jc w:val="left"/>
      </w:pPr>
      <w:r>
        <w:rPr>
          <w:sz w:val="12"/>
        </w:rPr>
        <w:t>3</w:t>
      </w:r>
    </w:p>
    <w:p w:rsidR="006905D1" w:rsidRDefault="005056FB">
      <w:pPr>
        <w:spacing w:after="0" w:line="265" w:lineRule="auto"/>
        <w:ind w:left="32" w:right="73" w:hanging="10"/>
        <w:jc w:val="center"/>
      </w:pPr>
      <w:r>
        <w:rPr>
          <w:i/>
          <w:sz w:val="18"/>
        </w:rPr>
        <w:t>Center for Personal Dynamic Regulomes, Stanford University, Stanford, CA 94305, USA</w:t>
      </w:r>
    </w:p>
    <w:p w:rsidR="006905D1" w:rsidRDefault="005056FB">
      <w:pPr>
        <w:spacing w:after="0" w:line="216" w:lineRule="auto"/>
        <w:ind w:left="2160" w:right="2201" w:hanging="93"/>
      </w:pPr>
      <w:bookmarkStart w:id="0" w:name="_GoBack"/>
      <w:bookmarkEnd w:id="0"/>
      <w:r>
        <w:rPr>
          <w:sz w:val="12"/>
        </w:rPr>
        <w:t xml:space="preserve">4 </w:t>
      </w:r>
      <w:r>
        <w:rPr>
          <w:i/>
          <w:sz w:val="18"/>
        </w:rPr>
        <w:t>Department of Bioengineering, Stanford University, Stanford, CA 94305, USA</w:t>
      </w:r>
    </w:p>
    <w:p w:rsidR="006905D1" w:rsidRDefault="005056FB">
      <w:pPr>
        <w:spacing w:after="0" w:line="259" w:lineRule="auto"/>
        <w:ind w:left="2005" w:right="0" w:hanging="10"/>
        <w:jc w:val="left"/>
      </w:pPr>
      <w:r>
        <w:rPr>
          <w:sz w:val="12"/>
        </w:rPr>
        <w:t>5</w:t>
      </w:r>
    </w:p>
    <w:p w:rsidR="006905D1" w:rsidRDefault="005056FB">
      <w:pPr>
        <w:spacing w:after="0" w:line="265" w:lineRule="auto"/>
        <w:ind w:left="32" w:right="73" w:hanging="10"/>
        <w:jc w:val="center"/>
      </w:pPr>
      <w:r>
        <w:rPr>
          <w:i/>
          <w:sz w:val="18"/>
        </w:rPr>
        <w:t xml:space="preserve">Department of Chemistry, </w:t>
      </w:r>
      <w:proofErr w:type="gramStart"/>
      <w:r>
        <w:rPr>
          <w:i/>
          <w:sz w:val="18"/>
        </w:rPr>
        <w:t>The</w:t>
      </w:r>
      <w:proofErr w:type="gramEnd"/>
      <w:r>
        <w:rPr>
          <w:i/>
          <w:sz w:val="18"/>
        </w:rPr>
        <w:t xml:space="preserve"> University of Chicago, Chicago, IL, 60637, USA</w:t>
      </w:r>
    </w:p>
    <w:p w:rsidR="006905D1" w:rsidRDefault="005056FB">
      <w:pPr>
        <w:spacing w:after="0" w:line="259" w:lineRule="auto"/>
        <w:ind w:left="477" w:right="0" w:hanging="10"/>
        <w:jc w:val="left"/>
      </w:pPr>
      <w:r>
        <w:rPr>
          <w:sz w:val="12"/>
        </w:rPr>
        <w:t>6</w:t>
      </w:r>
    </w:p>
    <w:p w:rsidR="006905D1" w:rsidRDefault="005056FB">
      <w:pPr>
        <w:spacing w:after="0" w:line="265" w:lineRule="auto"/>
        <w:ind w:left="32" w:right="73" w:hanging="10"/>
        <w:jc w:val="center"/>
      </w:pPr>
      <w:r>
        <w:rPr>
          <w:i/>
          <w:sz w:val="18"/>
        </w:rPr>
        <w:t>Chemistry, Engi</w:t>
      </w:r>
      <w:r>
        <w:rPr>
          <w:i/>
          <w:sz w:val="18"/>
        </w:rPr>
        <w:t>neering, and Medicine for Human Health (ChEM-H), Stanford University, Stanford, CA, 94305, USA</w:t>
      </w:r>
    </w:p>
    <w:p w:rsidR="006905D1" w:rsidRDefault="005056FB">
      <w:pPr>
        <w:spacing w:after="0" w:line="216" w:lineRule="auto"/>
        <w:ind w:left="109" w:right="150" w:hanging="93"/>
      </w:pPr>
      <w:r>
        <w:rPr>
          <w:sz w:val="12"/>
        </w:rPr>
        <w:t xml:space="preserve">7 </w:t>
      </w:r>
      <w:r>
        <w:rPr>
          <w:i/>
          <w:sz w:val="18"/>
        </w:rPr>
        <w:t xml:space="preserve">Department of Biochemistry and Molecular Biology and Institute for Biophysical Dynamics, </w:t>
      </w:r>
      <w:proofErr w:type="gramStart"/>
      <w:r>
        <w:rPr>
          <w:i/>
          <w:sz w:val="18"/>
        </w:rPr>
        <w:t>The</w:t>
      </w:r>
      <w:proofErr w:type="gramEnd"/>
      <w:r>
        <w:rPr>
          <w:i/>
          <w:sz w:val="18"/>
        </w:rPr>
        <w:t xml:space="preserve"> University of Chicago, Chicago, IL, 60637, USA</w:t>
      </w:r>
    </w:p>
    <w:p w:rsidR="006905D1" w:rsidRDefault="005056FB">
      <w:pPr>
        <w:spacing w:after="0" w:line="259" w:lineRule="auto"/>
        <w:ind w:left="1711" w:right="0" w:hanging="10"/>
        <w:jc w:val="left"/>
      </w:pPr>
      <w:r>
        <w:rPr>
          <w:sz w:val="12"/>
        </w:rPr>
        <w:t>8</w:t>
      </w:r>
    </w:p>
    <w:p w:rsidR="006905D1" w:rsidRDefault="005056FB">
      <w:pPr>
        <w:spacing w:after="0" w:line="265" w:lineRule="auto"/>
        <w:ind w:left="32" w:right="73" w:hanging="10"/>
        <w:jc w:val="center"/>
      </w:pPr>
      <w:r>
        <w:rPr>
          <w:i/>
          <w:sz w:val="18"/>
        </w:rPr>
        <w:t>Howard Hughes Med</w:t>
      </w:r>
      <w:r>
        <w:rPr>
          <w:i/>
          <w:sz w:val="18"/>
        </w:rPr>
        <w:t xml:space="preserve">ical Institute, </w:t>
      </w:r>
      <w:proofErr w:type="gramStart"/>
      <w:r>
        <w:rPr>
          <w:i/>
          <w:sz w:val="18"/>
        </w:rPr>
        <w:t>The</w:t>
      </w:r>
      <w:proofErr w:type="gramEnd"/>
      <w:r>
        <w:rPr>
          <w:i/>
          <w:sz w:val="18"/>
        </w:rPr>
        <w:t xml:space="preserve"> University of Chicago, Chicago, IL, 60637, USA</w:t>
      </w:r>
    </w:p>
    <w:p w:rsidR="006905D1" w:rsidRDefault="005056FB">
      <w:pPr>
        <w:spacing w:after="0" w:line="259" w:lineRule="auto"/>
        <w:ind w:left="1944" w:right="0" w:hanging="10"/>
        <w:jc w:val="left"/>
      </w:pPr>
      <w:r>
        <w:rPr>
          <w:sz w:val="12"/>
        </w:rPr>
        <w:t>9</w:t>
      </w:r>
    </w:p>
    <w:p w:rsidR="006905D1" w:rsidRDefault="005056FB">
      <w:pPr>
        <w:spacing w:after="0" w:line="265" w:lineRule="auto"/>
        <w:ind w:left="32" w:right="73" w:hanging="10"/>
        <w:jc w:val="center"/>
      </w:pPr>
      <w:r>
        <w:rPr>
          <w:i/>
          <w:sz w:val="18"/>
        </w:rPr>
        <w:t>Department of Computer Science, Stanford University, Stanford, CA 94305, USA</w:t>
      </w:r>
    </w:p>
    <w:p w:rsidR="006905D1" w:rsidRDefault="005056FB">
      <w:pPr>
        <w:spacing w:after="0" w:line="259" w:lineRule="auto"/>
        <w:ind w:left="2005" w:right="0" w:hanging="10"/>
        <w:jc w:val="left"/>
      </w:pPr>
      <w:r>
        <w:rPr>
          <w:sz w:val="12"/>
        </w:rPr>
        <w:t>10</w:t>
      </w:r>
    </w:p>
    <w:p w:rsidR="006905D1" w:rsidRDefault="005056FB">
      <w:pPr>
        <w:spacing w:after="0" w:line="265" w:lineRule="auto"/>
        <w:ind w:left="32" w:right="0" w:hanging="10"/>
        <w:jc w:val="center"/>
      </w:pPr>
      <w:r>
        <w:rPr>
          <w:i/>
          <w:sz w:val="18"/>
        </w:rPr>
        <w:t>Department of Applied Physics, Stanford University, Stanford, CA 94305, USA</w:t>
      </w:r>
    </w:p>
    <w:p w:rsidR="006905D1" w:rsidRDefault="005056FB">
      <w:pPr>
        <w:spacing w:after="0" w:line="259" w:lineRule="auto"/>
        <w:ind w:left="1572" w:right="0" w:hanging="10"/>
        <w:jc w:val="left"/>
      </w:pPr>
      <w:r>
        <w:rPr>
          <w:sz w:val="12"/>
        </w:rPr>
        <w:t>11</w:t>
      </w:r>
    </w:p>
    <w:p w:rsidR="006905D1" w:rsidRDefault="005056FB">
      <w:pPr>
        <w:spacing w:after="0" w:line="265" w:lineRule="auto"/>
        <w:ind w:left="32" w:right="0" w:hanging="10"/>
        <w:jc w:val="center"/>
      </w:pPr>
      <w:r>
        <w:rPr>
          <w:i/>
          <w:sz w:val="18"/>
        </w:rPr>
        <w:t>Center for Personal Dynamic Regulomes, Stanford University, Stanford, CA, 94305, USA</w:t>
      </w:r>
    </w:p>
    <w:p w:rsidR="006905D1" w:rsidRDefault="005056FB">
      <w:pPr>
        <w:spacing w:after="0" w:line="259" w:lineRule="auto"/>
        <w:ind w:left="2877" w:right="0" w:hanging="10"/>
        <w:jc w:val="left"/>
      </w:pPr>
      <w:r>
        <w:rPr>
          <w:sz w:val="12"/>
        </w:rPr>
        <w:t>12</w:t>
      </w:r>
    </w:p>
    <w:p w:rsidR="006905D1" w:rsidRDefault="005056FB">
      <w:pPr>
        <w:spacing w:after="0" w:line="265" w:lineRule="auto"/>
        <w:ind w:left="32" w:right="0" w:hanging="10"/>
        <w:jc w:val="center"/>
      </w:pPr>
      <w:r>
        <w:rPr>
          <w:i/>
          <w:sz w:val="18"/>
        </w:rPr>
        <w:t>Chan Zuckerberg Biohub, San Francisco, California, USA</w:t>
      </w:r>
    </w:p>
    <w:p w:rsidR="006905D1" w:rsidRDefault="005056FB">
      <w:pPr>
        <w:spacing w:after="0" w:line="259" w:lineRule="auto"/>
        <w:ind w:left="4346" w:right="0" w:hanging="10"/>
        <w:jc w:val="left"/>
      </w:pPr>
      <w:r>
        <w:rPr>
          <w:sz w:val="12"/>
        </w:rPr>
        <w:t>#</w:t>
      </w:r>
    </w:p>
    <w:p w:rsidR="006905D1" w:rsidRDefault="005056FB">
      <w:pPr>
        <w:spacing w:after="703" w:line="265" w:lineRule="auto"/>
        <w:ind w:left="32" w:right="27" w:hanging="10"/>
        <w:jc w:val="center"/>
      </w:pPr>
      <w:r>
        <w:rPr>
          <w:i/>
          <w:sz w:val="18"/>
        </w:rPr>
        <w:t>Corresponding author</w:t>
      </w:r>
    </w:p>
    <w:p w:rsidR="006905D1" w:rsidRDefault="005056FB">
      <w:pPr>
        <w:spacing w:after="0" w:line="248" w:lineRule="auto"/>
        <w:ind w:firstLine="299"/>
      </w:pPr>
      <w:r>
        <w:rPr>
          <w:b/>
        </w:rPr>
        <w:t>Detecting and mitigating off-target activity is critical to the practical application of CRISPR-mediated genome and epigenome editing. While numerous methods have been developed to map sgRNA specificity genome-wide, they are generally time-consuming and/or</w:t>
      </w:r>
      <w:r>
        <w:rPr>
          <w:b/>
        </w:rPr>
        <w:t xml:space="preserve"> expensive, and not applicable to catalytically dead CRISPR enzymes. We have developed a rapid, inexpensive, and facile assay for identifying offtarget CRISPR binding and cleavage by chemically mapping the unwound single-stranded DNA structures formed upon</w:t>
      </w:r>
      <w:r>
        <w:rPr>
          <w:b/>
        </w:rPr>
        <w:t xml:space="preserve"> CRISPR binding (“CasKAS”). We demonstrate this method in both </w:t>
      </w:r>
      <w:r>
        <w:rPr>
          <w:rFonts w:ascii="Calibri" w:eastAsia="Calibri" w:hAnsi="Calibri" w:cs="Calibri"/>
          <w:i/>
        </w:rPr>
        <w:t xml:space="preserve">in vitro </w:t>
      </w:r>
      <w:r>
        <w:rPr>
          <w:b/>
        </w:rPr>
        <w:t xml:space="preserve">and </w:t>
      </w:r>
      <w:r>
        <w:rPr>
          <w:rFonts w:ascii="Calibri" w:eastAsia="Calibri" w:hAnsi="Calibri" w:cs="Calibri"/>
          <w:i/>
        </w:rPr>
        <w:t xml:space="preserve">in vivo </w:t>
      </w:r>
      <w:r>
        <w:rPr>
          <w:b/>
        </w:rPr>
        <w:t>contexts.</w:t>
      </w:r>
    </w:p>
    <w:p w:rsidR="006905D1" w:rsidRDefault="005056FB">
      <w:pPr>
        <w:ind w:left="-15" w:right="120"/>
      </w:pPr>
      <w:r>
        <w:t>CRISPR-based methods for editing the genome and epigenome have emerged as a highly versatile means of manipulating the genetic makeup and regulatory states of cel</w:t>
      </w:r>
      <w:r>
        <w:t>ls. CRISPR technologies hold the potential to transform medical practice by enabling direct elimination of pathogenic sequence variants or manipulation of aberrant gene expression programs. CRISPR has also become a standard tool for discovery in fundamenta</w:t>
      </w:r>
      <w:r>
        <w:t>l biomedical research, including its uses for high-throughput, massively parallel genomic screens</w:t>
      </w:r>
      <w:proofErr w:type="gramStart"/>
      <w:r>
        <w:rPr>
          <w:b/>
          <w:vertAlign w:val="superscript"/>
        </w:rPr>
        <w:t xml:space="preserve">? </w:t>
      </w:r>
      <w:r>
        <w:t>.</w:t>
      </w:r>
      <w:proofErr w:type="gramEnd"/>
    </w:p>
    <w:p w:rsidR="006905D1" w:rsidRDefault="005056FB">
      <w:pPr>
        <w:ind w:left="-15" w:right="120"/>
      </w:pPr>
      <w:r>
        <w:t>The presence of significant off-target effects is of universal concern for genome engineering technologies, presenting a major hurdle to fully realizing th</w:t>
      </w:r>
      <w:r>
        <w:t>eir potential utility. CRISPR tools have been shown to exhibit biochemical activity away from their intended target sites, which is particularly problematic for therapeutic applications, where risks of negative consequences to patient health must be minima</w:t>
      </w:r>
      <w:r>
        <w:t>l. Understanding and mapping these effects is therefore an urgent need.</w:t>
      </w:r>
    </w:p>
    <w:p w:rsidR="006905D1" w:rsidRDefault="005056FB">
      <w:pPr>
        <w:ind w:left="-15" w:right="0"/>
      </w:pPr>
      <w:r>
        <w:t>To this end, numerous experimental approaches have been developed to experimentally map off-target effects genomewide. Methods such as Digenome-seq</w:t>
      </w:r>
      <w:r>
        <w:rPr>
          <w:b/>
          <w:vertAlign w:val="superscript"/>
        </w:rPr>
        <w:t xml:space="preserve">? </w:t>
      </w:r>
      <w:proofErr w:type="gramStart"/>
      <w:r>
        <w:t>look</w:t>
      </w:r>
      <w:proofErr w:type="gramEnd"/>
      <w:r>
        <w:t xml:space="preserve"> for particular types of cut si</w:t>
      </w:r>
      <w:r>
        <w:t>tes around target sequences in whole-genome sequencing data; however, deep whole-genome sequencing is still quite expensive to carry out. Assays such as BLESS</w:t>
      </w:r>
      <w:r>
        <w:rPr>
          <w:b/>
          <w:vertAlign w:val="superscript"/>
        </w:rPr>
        <w:t xml:space="preserve">? </w:t>
      </w:r>
      <w:r>
        <w:t>, GUIDE-seq</w:t>
      </w:r>
      <w:r>
        <w:rPr>
          <w:b/>
          <w:vertAlign w:val="superscript"/>
        </w:rPr>
        <w:t xml:space="preserve">? </w:t>
      </w:r>
      <w:r>
        <w:t>, HTGTS</w:t>
      </w:r>
      <w:r>
        <w:rPr>
          <w:b/>
          <w:vertAlign w:val="superscript"/>
        </w:rPr>
        <w:t xml:space="preserve">? </w:t>
      </w:r>
      <w:r>
        <w:t>, DSBCapture</w:t>
      </w:r>
      <w:r>
        <w:rPr>
          <w:b/>
          <w:vertAlign w:val="superscript"/>
        </w:rPr>
        <w:t xml:space="preserve">? </w:t>
      </w:r>
      <w:r>
        <w:t>, BLISS</w:t>
      </w:r>
      <w:r>
        <w:rPr>
          <w:b/>
          <w:vertAlign w:val="superscript"/>
        </w:rPr>
        <w:t xml:space="preserve">? </w:t>
      </w:r>
      <w:r>
        <w:t>, SITE-seq</w:t>
      </w:r>
      <w:r>
        <w:rPr>
          <w:b/>
          <w:vertAlign w:val="superscript"/>
        </w:rPr>
        <w:t xml:space="preserve">? </w:t>
      </w:r>
      <w:r>
        <w:t>, CIRCLE–seq</w:t>
      </w:r>
      <w:r>
        <w:rPr>
          <w:b/>
          <w:vertAlign w:val="superscript"/>
        </w:rPr>
        <w:t xml:space="preserve">? </w:t>
      </w:r>
      <w:r>
        <w:t>, TTISS</w:t>
      </w:r>
      <w:r>
        <w:rPr>
          <w:b/>
          <w:vertAlign w:val="superscript"/>
        </w:rPr>
        <w:t xml:space="preserve">? </w:t>
      </w:r>
      <w:r>
        <w:t>, INDUCE-seq</w:t>
      </w:r>
      <w:r>
        <w:rPr>
          <w:b/>
          <w:vertAlign w:val="superscript"/>
        </w:rPr>
        <w:t xml:space="preserve">? </w:t>
      </w:r>
      <w:r>
        <w:t xml:space="preserve">, </w:t>
      </w:r>
      <w:r>
        <w:t>and CHANGEseq</w:t>
      </w:r>
      <w:r>
        <w:rPr>
          <w:b/>
          <w:vertAlign w:val="superscript"/>
        </w:rPr>
        <w:t xml:space="preserve">? </w:t>
      </w:r>
      <w:proofErr w:type="gramStart"/>
      <w:r>
        <w:t>aim</w:t>
      </w:r>
      <w:proofErr w:type="gramEnd"/>
      <w:r>
        <w:t xml:space="preserve"> to instead directly map Cas9 cleavage events; however, they all involve some combination of complex and laborious molecular biology protocols and non-standard reagents, and have not been widely adopted as a result. Other methods, such as</w:t>
      </w:r>
      <w:r>
        <w:t xml:space="preserve"> DISCOVER-seq</w:t>
      </w:r>
      <w:r>
        <w:rPr>
          <w:b/>
          <w:vertAlign w:val="superscript"/>
        </w:rPr>
        <w:t xml:space="preserve">? </w:t>
      </w:r>
      <w:r>
        <w:t xml:space="preserve">, which maps DNA repair activity by applying ChIP-seq against the MRE11 protein, as well as earlier applications of ChIP-seq to map </w:t>
      </w:r>
      <w:proofErr w:type="gramStart"/>
      <w:r>
        <w:t>catalytically</w:t>
      </w:r>
      <w:proofErr w:type="gramEnd"/>
      <w:r>
        <w:t xml:space="preserve"> dead dCas9 occupancy sites genome-wide</w:t>
      </w:r>
      <w:r>
        <w:rPr>
          <w:b/>
          <w:vertAlign w:val="superscript"/>
        </w:rPr>
        <w:t xml:space="preserve">? ? </w:t>
      </w:r>
      <w:r>
        <w:t>, suffer from technical issues associated with the Ch</w:t>
      </w:r>
      <w:r>
        <w:t xml:space="preserve">IP procedure. Most </w:t>
      </w:r>
      <w:r>
        <w:lastRenderedPageBreak/>
        <w:t>recently, long-read sequencing has been adapted to the problem of Cas9 specificity profiling, in the form of SMRT-OTS and Nano-OTS</w:t>
      </w:r>
      <w:r>
        <w:rPr>
          <w:b/>
          <w:vertAlign w:val="superscript"/>
        </w:rPr>
        <w:t xml:space="preserve">? </w:t>
      </w:r>
      <w:r>
        <w:t>, but the cost of these methods is relatively high while their throughput is comparatively low.</w:t>
      </w:r>
    </w:p>
    <w:p w:rsidR="006905D1" w:rsidRDefault="005056FB">
      <w:pPr>
        <w:ind w:left="-15" w:right="120"/>
      </w:pPr>
      <w:r>
        <w:t>Various c</w:t>
      </w:r>
      <w:r>
        <w:t>omputational models have also been trained to predict off-targets genome-wide</w:t>
      </w:r>
      <w:proofErr w:type="gramStart"/>
      <w:r>
        <w:rPr>
          <w:b/>
          <w:vertAlign w:val="superscript"/>
        </w:rPr>
        <w:t>? ?</w:t>
      </w:r>
      <w:proofErr w:type="gramEnd"/>
      <w:r>
        <w:rPr>
          <w:b/>
          <w:vertAlign w:val="superscript"/>
        </w:rPr>
        <w:t xml:space="preserve"> </w:t>
      </w:r>
      <w:r>
        <w:t>. However, these exhibit far from perfect accuracy, and thus in many situations, especially within clinical contexts, direct experimental evidence is needed to accurately iden</w:t>
      </w:r>
      <w:r>
        <w:t>tify potential unintended effects of CRISPR-based reagents.</w:t>
      </w:r>
    </w:p>
    <w:p w:rsidR="006905D1" w:rsidRDefault="005056FB">
      <w:pPr>
        <w:ind w:left="-15" w:right="120"/>
      </w:pPr>
      <w:r>
        <w:t>A faster, more accessible, and versatile method for mapping CRISPR off targets is thus still a critical need in the field. When a Cas9-sgRNA ribonucleoprotein (RNP) is engaged with its target site</w:t>
      </w:r>
      <w:r>
        <w:t>, the sgRNA invades the DNA double helix, forming a ssDNA structure on the other strand (Fig</w:t>
      </w:r>
      <w:proofErr w:type="gramStart"/>
      <w:r>
        <w:t xml:space="preserve">. </w:t>
      </w:r>
      <w:r>
        <w:rPr>
          <w:b/>
        </w:rPr>
        <w:t>??</w:t>
      </w:r>
      <w:r>
        <w:t>a</w:t>
      </w:r>
      <w:proofErr w:type="gramEnd"/>
      <w:r>
        <w:t>). We thus reasoned that mapping ssDNA-containing regions should be a sensitive biochemical signal of productive Cas9 binding. The recently developed KAS-seq</w:t>
      </w:r>
      <w:r>
        <w:rPr>
          <w:b/>
          <w:vertAlign w:val="superscript"/>
        </w:rPr>
        <w:t xml:space="preserve">? </w:t>
      </w:r>
      <w:proofErr w:type="gramStart"/>
      <w:r>
        <w:t>assay</w:t>
      </w:r>
      <w:proofErr w:type="gramEnd"/>
      <w:r>
        <w:t xml:space="preserve"> for mapping single-stranded DNA (ssDNA) (</w:t>
      </w:r>
      <w:r>
        <w:rPr>
          <w:b/>
        </w:rPr>
        <w:t>k</w:t>
      </w:r>
      <w:r>
        <w:t>ethoxal-</w:t>
      </w:r>
      <w:r>
        <w:rPr>
          <w:b/>
        </w:rPr>
        <w:t>a</w:t>
      </w:r>
      <w:r>
        <w:t xml:space="preserve">ssisted </w:t>
      </w:r>
      <w:r>
        <w:rPr>
          <w:b/>
        </w:rPr>
        <w:t>s</w:t>
      </w:r>
      <w:r>
        <w:t>sDNA sequencing</w:t>
      </w:r>
      <w:r>
        <w:rPr>
          <w:b/>
          <w:vertAlign w:val="superscript"/>
        </w:rPr>
        <w:t xml:space="preserve">? </w:t>
      </w:r>
      <w:r>
        <w:t xml:space="preserve">) is ideally suited for the purpose of identifying ssDNA generated by CRISPR protein binding to DNA (Fig. </w:t>
      </w:r>
      <w:r>
        <w:rPr>
          <w:b/>
        </w:rPr>
        <w:t>??</w:t>
      </w:r>
      <w:r>
        <w:t>a-b). KAS-seq is based on the specific covalent labeling of unpai</w:t>
      </w:r>
      <w:r>
        <w:t>red guanine bases with N</w:t>
      </w:r>
      <w:r>
        <w:rPr>
          <w:vertAlign w:val="subscript"/>
        </w:rPr>
        <w:t>3</w:t>
      </w:r>
      <w:r>
        <w:t xml:space="preserve">-kethoxal, generating </w:t>
      </w:r>
      <w:proofErr w:type="gramStart"/>
      <w:r>
        <w:t>an adduct</w:t>
      </w:r>
      <w:proofErr w:type="gramEnd"/>
      <w:r>
        <w:t xml:space="preserve"> to which biotin can then be added using click chemistry. After shearing, biotinylated DNA, corresponding to regions containing ssDNA structure, can be specifically enriched for and sequenced.</w:t>
      </w:r>
    </w:p>
    <w:p w:rsidR="006905D1" w:rsidRDefault="005056FB">
      <w:pPr>
        <w:ind w:left="-15" w:right="120"/>
      </w:pPr>
      <w:r>
        <w:t xml:space="preserve">To determine the feasibility of using KAS-seq to map regions of ssDNA generated by Cas9 binding, we carried out an initial </w:t>
      </w:r>
      <w:r>
        <w:rPr>
          <w:i/>
        </w:rPr>
        <w:t xml:space="preserve">in vitro </w:t>
      </w:r>
      <w:r>
        <w:t xml:space="preserve">experiment using mouse genomic DNA (gDNA), purified dCas9 and two sgRNAs targeting the </w:t>
      </w:r>
      <w:r>
        <w:rPr>
          <w:i/>
        </w:rPr>
        <w:t xml:space="preserve">Hoxa </w:t>
      </w:r>
      <w:r>
        <w:t>locus.</w:t>
      </w:r>
    </w:p>
    <w:p w:rsidR="006905D1" w:rsidRDefault="005056FB">
      <w:pPr>
        <w:ind w:left="-15" w:right="120"/>
      </w:pPr>
      <w:r>
        <w:t>Strikingly, we observed strong peaks at the expected target sites for each sgRNA (Fig</w:t>
      </w:r>
      <w:proofErr w:type="gramStart"/>
      <w:r>
        <w:t xml:space="preserve">. </w:t>
      </w:r>
      <w:r>
        <w:rPr>
          <w:b/>
        </w:rPr>
        <w:t>??</w:t>
      </w:r>
      <w:proofErr w:type="gramEnd"/>
      <w:r>
        <w:t>c). Detailed examination of dCas9 CasKAS profiles around the predicted sgRNA target sites revealed strand coverage asymmetry patterns similar to those observed for ChI</w:t>
      </w:r>
      <w:r>
        <w:t>P-seq around transcription factor binding sites</w:t>
      </w:r>
      <w:r>
        <w:rPr>
          <w:b/>
          <w:vertAlign w:val="superscript"/>
        </w:rPr>
        <w:t xml:space="preserve">? </w:t>
      </w:r>
      <w:r>
        <w:t>(Fig</w:t>
      </w:r>
      <w:proofErr w:type="gramStart"/>
      <w:r>
        <w:t xml:space="preserve">. </w:t>
      </w:r>
      <w:r>
        <w:rPr>
          <w:b/>
        </w:rPr>
        <w:t>??</w:t>
      </w:r>
      <w:proofErr w:type="gramEnd"/>
      <w:r>
        <w:t>d), indicating that enrichment derives from the sgRNA target site itself and confirming the utility of N</w:t>
      </w:r>
      <w:r>
        <w:rPr>
          <w:vertAlign w:val="subscript"/>
        </w:rPr>
        <w:t>3</w:t>
      </w:r>
      <w:r>
        <w:t>-kethoxal for mapping dCas9 occupancy sites. We termed the assay “CasKAS”.</w:t>
      </w:r>
    </w:p>
    <w:p w:rsidR="006905D1" w:rsidRDefault="005056FB">
      <w:pPr>
        <w:ind w:left="-15" w:right="120"/>
      </w:pPr>
      <w:r>
        <w:t>We then reasoned th</w:t>
      </w:r>
      <w:r>
        <w:t>at CasKAS should also capture active Cas9 complexed with DNA, as the enzyme is thought to remain associated with DNA for some time after cleavage</w:t>
      </w:r>
      <w:proofErr w:type="gramStart"/>
      <w:r>
        <w:rPr>
          <w:b/>
          <w:vertAlign w:val="superscript"/>
        </w:rPr>
        <w:t xml:space="preserve">? </w:t>
      </w:r>
      <w:r>
        <w:t>.</w:t>
      </w:r>
      <w:proofErr w:type="gramEnd"/>
      <w:r>
        <w:t xml:space="preserve"> We performed CasKAS experiments with the same sgRNAs and active Cas9 nuclease, and again observed enrichmen</w:t>
      </w:r>
      <w:r>
        <w:t>t at the expected on-target sites (Fig</w:t>
      </w:r>
      <w:proofErr w:type="gramStart"/>
      <w:r>
        <w:t xml:space="preserve">. </w:t>
      </w:r>
      <w:r>
        <w:rPr>
          <w:b/>
        </w:rPr>
        <w:t>??</w:t>
      </w:r>
      <w:proofErr w:type="gramEnd"/>
      <w:r>
        <w:t>e). Examination of Cas9 CasKAS read profiles around the on-target site showed that the 5’ ends of reads are precisely positioned around the expected cut site, with one cut position on the target strand (which binds</w:t>
      </w:r>
      <w:r>
        <w:t xml:space="preserve"> the sgRNA and is cleaved by the HNH domain) and two to three such positions on the non-target strand (which is cleaved by the RuvC domain; Fig</w:t>
      </w:r>
      <w:proofErr w:type="gramStart"/>
      <w:r>
        <w:t xml:space="preserve">. </w:t>
      </w:r>
      <w:r>
        <w:rPr>
          <w:b/>
        </w:rPr>
        <w:t>??</w:t>
      </w:r>
      <w:proofErr w:type="gramEnd"/>
      <w:r>
        <w:t>f), consistent with the previously known patterns of Cas9 cleavage</w:t>
      </w:r>
      <w:proofErr w:type="gramStart"/>
      <w:r>
        <w:rPr>
          <w:b/>
          <w:vertAlign w:val="superscript"/>
        </w:rPr>
        <w:t>? ?</w:t>
      </w:r>
      <w:proofErr w:type="gramEnd"/>
      <w:r>
        <w:rPr>
          <w:b/>
          <w:vertAlign w:val="superscript"/>
        </w:rPr>
        <w:t xml:space="preserve"> </w:t>
      </w:r>
      <w:r>
        <w:t>. CasKAS therefore provides target spec</w:t>
      </w:r>
      <w:r>
        <w:t>ificity profiles for both active and catalytically dead Cas9 enzymes.</w:t>
      </w:r>
    </w:p>
    <w:p w:rsidR="006905D1" w:rsidRDefault="005056FB">
      <w:pPr>
        <w:ind w:left="-15" w:right="120"/>
      </w:pPr>
      <w:r>
        <w:rPr>
          <w:i/>
        </w:rPr>
        <w:t xml:space="preserve">In vitro </w:t>
      </w:r>
      <w:r>
        <w:t>CasKAS data was highly reproducible between replicates (Fig</w:t>
      </w:r>
      <w:proofErr w:type="gramStart"/>
      <w:r>
        <w:t xml:space="preserve">. </w:t>
      </w:r>
      <w:r>
        <w:rPr>
          <w:b/>
        </w:rPr>
        <w:t>??</w:t>
      </w:r>
      <w:proofErr w:type="gramEnd"/>
      <w:r>
        <w:t>g), and a modest sequencing depth of between 10 and 20 million mapped reads was sufficient to capture off-target s</w:t>
      </w:r>
      <w:r>
        <w:t>pecificity profiles (Fig</w:t>
      </w:r>
      <w:proofErr w:type="gramStart"/>
      <w:r>
        <w:t xml:space="preserve">. </w:t>
      </w:r>
      <w:r>
        <w:rPr>
          <w:b/>
        </w:rPr>
        <w:t>??</w:t>
      </w:r>
      <w:proofErr w:type="gramEnd"/>
      <w:r>
        <w:t>h), which is an order of magnitude lower than required for resequencing the whole genome.</w:t>
      </w:r>
    </w:p>
    <w:p w:rsidR="006905D1" w:rsidRDefault="005056FB">
      <w:pPr>
        <w:ind w:left="-15" w:right="120"/>
      </w:pPr>
      <w:r>
        <w:t xml:space="preserve">We observed similar results with two mouse sgRNAs targeting the </w:t>
      </w:r>
      <w:r>
        <w:rPr>
          <w:i/>
        </w:rPr>
        <w:t xml:space="preserve">Nanog </w:t>
      </w:r>
      <w:r>
        <w:t>locus (Supplementary Fig</w:t>
      </w:r>
      <w:proofErr w:type="gramStart"/>
      <w:r>
        <w:t xml:space="preserve">. </w:t>
      </w:r>
      <w:r>
        <w:rPr>
          <w:b/>
        </w:rPr>
        <w:t>??</w:t>
      </w:r>
      <w:proofErr w:type="gramEnd"/>
      <w:r>
        <w:t>) and with two human sgRNA (“EMX1” and “</w:t>
      </w:r>
      <w:r>
        <w:t xml:space="preserve">VEGFA”; Supplementary Fig. </w:t>
      </w:r>
      <w:r>
        <w:rPr>
          <w:b/>
        </w:rPr>
        <w:t xml:space="preserve">?? </w:t>
      </w:r>
      <w:r>
        <w:t xml:space="preserve">and </w:t>
      </w:r>
      <w:r>
        <w:rPr>
          <w:b/>
        </w:rPr>
        <w:t>??</w:t>
      </w:r>
      <w:r>
        <w:t>). We found no enrichment using components of the RNP in isolation – sgRNAs, dCas9 or Cas9 (Supplementary Fig</w:t>
      </w:r>
      <w:proofErr w:type="gramStart"/>
      <w:r>
        <w:t xml:space="preserve">. </w:t>
      </w:r>
      <w:r>
        <w:rPr>
          <w:b/>
        </w:rPr>
        <w:t>??</w:t>
      </w:r>
      <w:proofErr w:type="gramEnd"/>
      <w:r>
        <w:t>).</w:t>
      </w:r>
    </w:p>
    <w:p w:rsidR="006905D1" w:rsidRDefault="005056FB">
      <w:pPr>
        <w:ind w:left="-15" w:right="120"/>
      </w:pPr>
      <w:r>
        <w:t xml:space="preserve">Next we tested the application of CasKAS </w:t>
      </w:r>
      <w:r>
        <w:rPr>
          <w:i/>
        </w:rPr>
        <w:t>in vivo</w:t>
      </w:r>
      <w:r>
        <w:t>. Living cells contain substantial ssDNA due to active t</w:t>
      </w:r>
      <w:r>
        <w:t>ranscription and other processes</w:t>
      </w:r>
      <w:r>
        <w:rPr>
          <w:b/>
          <w:vertAlign w:val="superscript"/>
        </w:rPr>
        <w:t xml:space="preserve">? </w:t>
      </w:r>
      <w:r>
        <w:t xml:space="preserve">, so </w:t>
      </w:r>
      <w:r>
        <w:rPr>
          <w:i/>
        </w:rPr>
        <w:t xml:space="preserve">in vivo </w:t>
      </w:r>
      <w:r>
        <w:t xml:space="preserve">CasKAS signal derives from a mixture of Cas9-associated ssDNA and endogenous processes. We carried out KAS-seq experiments using both dCas9 and Cas9 in HEK293 cells transfected with RNPs targeting </w:t>
      </w:r>
      <w:r>
        <w:rPr>
          <w:i/>
        </w:rPr>
        <w:t xml:space="preserve">EMX1 </w:t>
      </w:r>
      <w:r>
        <w:t xml:space="preserve">or </w:t>
      </w:r>
      <w:r>
        <w:rPr>
          <w:i/>
        </w:rPr>
        <w:t>VEGF</w:t>
      </w:r>
      <w:r>
        <w:rPr>
          <w:i/>
        </w:rPr>
        <w:t>A</w:t>
      </w:r>
      <w:r>
        <w:t xml:space="preserve">, as well as negative, no-guide controls, which provided a map of background endogenous ssDNA profiles. At </w:t>
      </w:r>
      <w:r>
        <w:rPr>
          <w:i/>
        </w:rPr>
        <w:t>EMX1</w:t>
      </w:r>
      <w:r>
        <w:t>, which is not active in HEK293 cells, we observe strong peaks at the expected target site (Fig</w:t>
      </w:r>
      <w:proofErr w:type="gramStart"/>
      <w:r>
        <w:t xml:space="preserve">. </w:t>
      </w:r>
      <w:r>
        <w:rPr>
          <w:b/>
        </w:rPr>
        <w:t>??</w:t>
      </w:r>
      <w:proofErr w:type="gramEnd"/>
      <w:r>
        <w:t>i), as well as an asymmetric read profile aro</w:t>
      </w:r>
      <w:r>
        <w:t>und it for dCas9 (Fig</w:t>
      </w:r>
      <w:proofErr w:type="gramStart"/>
      <w:r>
        <w:t xml:space="preserve">. </w:t>
      </w:r>
      <w:r>
        <w:rPr>
          <w:b/>
        </w:rPr>
        <w:t>??</w:t>
      </w:r>
      <w:proofErr w:type="gramEnd"/>
      <w:r>
        <w:t xml:space="preserve">j), and a substantial degree of 5’ end clustering at the cut site, similar to what is observed </w:t>
      </w:r>
      <w:r>
        <w:rPr>
          <w:i/>
        </w:rPr>
        <w:t xml:space="preserve">in vitro </w:t>
      </w:r>
      <w:r>
        <w:t>for active Cas9 (Fig</w:t>
      </w:r>
      <w:proofErr w:type="gramStart"/>
      <w:r>
        <w:t xml:space="preserve">. </w:t>
      </w:r>
      <w:r>
        <w:rPr>
          <w:b/>
        </w:rPr>
        <w:t>??</w:t>
      </w:r>
      <w:proofErr w:type="gramEnd"/>
      <w:r>
        <w:t>g). The VEGFA gene is active in HEK293 cells, but the dCas9/Cas9 CasKAS signal is still readily identif</w:t>
      </w:r>
      <w:r>
        <w:t xml:space="preserve">iable as an addition to the endogenous ssDNA enrichment pattern (Supplementary Fig. </w:t>
      </w:r>
      <w:r>
        <w:rPr>
          <w:b/>
        </w:rPr>
        <w:t>??</w:t>
      </w:r>
      <w:r>
        <w:t xml:space="preserve">). These results demonstrate the utility of CasKAS for profiling CRISPR specificity both </w:t>
      </w:r>
      <w:r>
        <w:rPr>
          <w:i/>
        </w:rPr>
        <w:t xml:space="preserve">in vitro </w:t>
      </w:r>
      <w:r>
        <w:t xml:space="preserve">and </w:t>
      </w:r>
      <w:r>
        <w:rPr>
          <w:i/>
        </w:rPr>
        <w:t>in vivo</w:t>
      </w:r>
    </w:p>
    <w:p w:rsidR="006905D1" w:rsidRDefault="005056FB">
      <w:pPr>
        <w:ind w:left="-15" w:right="120"/>
      </w:pPr>
      <w:r>
        <w:t>We next examined the genome-wide specificity of sgRNAs as me</w:t>
      </w:r>
      <w:r>
        <w:t xml:space="preserve">asured by CasKAS. We focus on the mouse sgRNA #1 as it displayed a substantial number of off-targets yet that number was also sufficiently small for all of them to be examined directly. We first called peaks </w:t>
      </w:r>
      <w:r>
        <w:rPr>
          <w:i/>
        </w:rPr>
        <w:t xml:space="preserve">de novo </w:t>
      </w:r>
      <w:r>
        <w:t>(see Methods for details) without relyin</w:t>
      </w:r>
      <w:r>
        <w:t xml:space="preserve">g on off-target prediction algorithms, then manually curated the resulting peak set, excluding peaks not exhibiting the canonical asymmetric read distribution around a fixed point on the two strands (Fig. </w:t>
      </w:r>
      <w:r>
        <w:rPr>
          <w:b/>
        </w:rPr>
        <w:t>??</w:t>
      </w:r>
      <w:proofErr w:type="gramStart"/>
      <w:r>
        <w:t>a</w:t>
      </w:r>
      <w:proofErr w:type="gramEnd"/>
      <w:r>
        <w:t>). Remarkably, while we found 32 peaks at predic</w:t>
      </w:r>
      <w:r>
        <w:t xml:space="preserve">ted off-target sites, we also found 198 (i.e. </w:t>
      </w:r>
      <w:r>
        <w:t>∼</w:t>
      </w:r>
      <w:r>
        <w:t>6</w:t>
      </w:r>
      <w:r>
        <w:t xml:space="preserve">× </w:t>
      </w:r>
      <w:r>
        <w:t xml:space="preserve">as many) additional manually curated peaks; while these peaks exhibit generally lower CasKAS signal (Fig. </w:t>
      </w:r>
      <w:r>
        <w:rPr>
          <w:b/>
        </w:rPr>
        <w:t>??</w:t>
      </w:r>
      <w:r>
        <w:t>b), they all display proper peak shape characteristics (see Supplementary Fig</w:t>
      </w:r>
      <w:proofErr w:type="gramStart"/>
      <w:r>
        <w:t xml:space="preserve">. </w:t>
      </w:r>
      <w:r>
        <w:rPr>
          <w:b/>
        </w:rPr>
        <w:t>??</w:t>
      </w:r>
      <w:proofErr w:type="gramEnd"/>
      <w:r>
        <w:rPr>
          <w:b/>
        </w:rPr>
        <w:t xml:space="preserve"> </w:t>
      </w:r>
      <w:r>
        <w:t xml:space="preserve">for details), suggesting that they are genuine sites of occupancy. Most of the predicted (in total </w:t>
      </w:r>
      <w:r>
        <w:t>∼</w:t>
      </w:r>
      <w:r>
        <w:t>7,500) off-target sites for this sgRNA did not show substantial occupancy by dCas9 CasKAS (Fig</w:t>
      </w:r>
      <w:proofErr w:type="gramStart"/>
      <w:r>
        <w:t xml:space="preserve">. </w:t>
      </w:r>
      <w:r>
        <w:rPr>
          <w:b/>
        </w:rPr>
        <w:t>??</w:t>
      </w:r>
      <w:r>
        <w:t>c-</w:t>
      </w:r>
      <w:proofErr w:type="gramEnd"/>
      <w:r>
        <w:t>d).</w:t>
      </w:r>
    </w:p>
    <w:p w:rsidR="006905D1" w:rsidRDefault="005056FB">
      <w:pPr>
        <w:ind w:left="-15" w:right="120"/>
      </w:pPr>
      <w:r>
        <w:lastRenderedPageBreak/>
        <w:t>Sequence comparison of the occupied predicted off-ta</w:t>
      </w:r>
      <w:r>
        <w:t>rget sites allowed us to evaluate determinants of Cas9 specificity (Fig</w:t>
      </w:r>
      <w:proofErr w:type="gramStart"/>
      <w:r>
        <w:t xml:space="preserve">. </w:t>
      </w:r>
      <w:r>
        <w:rPr>
          <w:b/>
        </w:rPr>
        <w:t>??</w:t>
      </w:r>
      <w:proofErr w:type="gramEnd"/>
      <w:r>
        <w:t>e). Consistent with previous reports</w:t>
      </w:r>
      <w:proofErr w:type="gramStart"/>
      <w:r>
        <w:rPr>
          <w:b/>
          <w:vertAlign w:val="superscript"/>
        </w:rPr>
        <w:t>? ?</w:t>
      </w:r>
      <w:proofErr w:type="gramEnd"/>
      <w:r>
        <w:rPr>
          <w:b/>
          <w:vertAlign w:val="superscript"/>
        </w:rPr>
        <w:t xml:space="preserve"> </w:t>
      </w:r>
      <w:r>
        <w:t>, the PAM-distal region was much less sequence-constrained than the PAM-proximal seed region. We observed a similar pattern with the other sg</w:t>
      </w:r>
      <w:r>
        <w:t>RNAs we profiled, in both mouse and human (Supplementary Fig</w:t>
      </w:r>
      <w:proofErr w:type="gramStart"/>
      <w:r>
        <w:t xml:space="preserve">. </w:t>
      </w:r>
      <w:r>
        <w:rPr>
          <w:b/>
        </w:rPr>
        <w:t>??</w:t>
      </w:r>
      <w:proofErr w:type="gramEnd"/>
      <w:r>
        <w:t>-</w:t>
      </w:r>
      <w:r>
        <w:rPr>
          <w:b/>
        </w:rPr>
        <w:t xml:space="preserve">?? </w:t>
      </w:r>
      <w:proofErr w:type="gramStart"/>
      <w:r>
        <w:t>and</w:t>
      </w:r>
      <w:proofErr w:type="gramEnd"/>
      <w:r>
        <w:t xml:space="preserve"> Supplementary Fig. </w:t>
      </w:r>
      <w:r>
        <w:rPr>
          <w:b/>
        </w:rPr>
        <w:t>??</w:t>
      </w:r>
      <w:r>
        <w:t>-</w:t>
      </w:r>
      <w:r>
        <w:rPr>
          <w:b/>
        </w:rPr>
        <w:t>??</w:t>
      </w:r>
      <w:r>
        <w:t>).</w:t>
      </w:r>
    </w:p>
    <w:p w:rsidR="006905D1" w:rsidRDefault="005056FB">
      <w:pPr>
        <w:ind w:left="-15" w:right="120"/>
      </w:pPr>
      <w:r>
        <w:t>When analyzing peaks not associated with predicted off-target sites (Supplementary Fig</w:t>
      </w:r>
      <w:proofErr w:type="gramStart"/>
      <w:r>
        <w:t xml:space="preserve">. </w:t>
      </w:r>
      <w:r>
        <w:rPr>
          <w:b/>
        </w:rPr>
        <w:t>??</w:t>
      </w:r>
      <w:proofErr w:type="gramEnd"/>
      <w:r>
        <w:t>) we observed other telling patterns – at numerous sites with stron</w:t>
      </w:r>
      <w:r>
        <w:t xml:space="preserve">g dCas9 CasKAS signal, we observe a large number of mismatches to the sgRNA sequence as well as “bulge” regions wherein indels are observed in the target sequence. These mismatches and bulges were in general much larger than what is considered permissible </w:t>
      </w:r>
      <w:r>
        <w:t>by off-target prediction algorithms; we speculate that the lack of consideration of potential target sequences with large numbers of mismatches or substantial insertions could explain the much larger number of such sites compared to the set of occupied pre</w:t>
      </w:r>
      <w:r>
        <w:t>dicted off-targets.</w:t>
      </w:r>
    </w:p>
    <w:p w:rsidR="006905D1" w:rsidRDefault="005056FB">
      <w:pPr>
        <w:ind w:left="-15" w:right="120"/>
      </w:pPr>
      <w:r>
        <w:t>We next devised a simple metric for evaluating the degree of read clustering at cut sites (a “</w:t>
      </w:r>
      <w:r>
        <w:rPr>
          <w:i/>
        </w:rPr>
        <w:t>C</w:t>
      </w:r>
      <w:r>
        <w:t>-score”; see Methods for details) to estimate the degree of cutting by Cas9. The on-target site exhibits the second highest dCas9 CasKAS sign</w:t>
      </w:r>
      <w:r>
        <w:t>al genome-wide. However, strikingly, even though all CasKAS-identified off-target sites showed Cas9 binding, only the on-target site displayed strong cutting activity (Fig</w:t>
      </w:r>
      <w:proofErr w:type="gramStart"/>
      <w:r>
        <w:t xml:space="preserve">. </w:t>
      </w:r>
      <w:r>
        <w:rPr>
          <w:b/>
        </w:rPr>
        <w:t>??</w:t>
      </w:r>
      <w:proofErr w:type="gramEnd"/>
      <w:r>
        <w:t>f). The behavior of other sgRNAs varies (Supplementary Fig</w:t>
      </w:r>
      <w:proofErr w:type="gramStart"/>
      <w:r>
        <w:t xml:space="preserve">. </w:t>
      </w:r>
      <w:r>
        <w:rPr>
          <w:b/>
        </w:rPr>
        <w:t>??</w:t>
      </w:r>
      <w:proofErr w:type="gramEnd"/>
      <w:r>
        <w:t>-</w:t>
      </w:r>
      <w:r>
        <w:rPr>
          <w:b/>
        </w:rPr>
        <w:t xml:space="preserve">?? </w:t>
      </w:r>
      <w:proofErr w:type="gramStart"/>
      <w:r>
        <w:t xml:space="preserve">and </w:t>
      </w:r>
      <w:r>
        <w:rPr>
          <w:b/>
        </w:rPr>
        <w:t>??</w:t>
      </w:r>
      <w:proofErr w:type="gramEnd"/>
      <w:r>
        <w:t>), with s</w:t>
      </w:r>
      <w:r>
        <w:t>ome showing multiple clearly identifiable cut sites. Overall, these results are consistent with previous reports that Cas9 requires more successful RNA</w:t>
      </w:r>
      <w:proofErr w:type="gramStart"/>
      <w:r>
        <w:t>:DNA</w:t>
      </w:r>
      <w:proofErr w:type="gramEnd"/>
      <w:r>
        <w:t xml:space="preserve"> basepairing for cleavage activity than is necessary for binding</w:t>
      </w:r>
      <w:r>
        <w:rPr>
          <w:b/>
          <w:vertAlign w:val="superscript"/>
        </w:rPr>
        <w:t xml:space="preserve">? ? </w:t>
      </w:r>
      <w:r>
        <w:t>. Thus, interpreting the read dis</w:t>
      </w:r>
      <w:r>
        <w:t>tributions of Cas9 CasKAS at target sites enables simultaneous detection of binding specificity and the promiscuity of catalytic activity.</w:t>
      </w:r>
    </w:p>
    <w:p w:rsidR="006905D1" w:rsidRDefault="005056FB">
      <w:pPr>
        <w:ind w:left="-15" w:right="120"/>
      </w:pPr>
      <w:r>
        <w:t xml:space="preserve">Finally, we compared </w:t>
      </w:r>
      <w:r>
        <w:rPr>
          <w:i/>
        </w:rPr>
        <w:t xml:space="preserve">in vitro </w:t>
      </w:r>
      <w:r>
        <w:t xml:space="preserve">and </w:t>
      </w:r>
      <w:r>
        <w:rPr>
          <w:i/>
        </w:rPr>
        <w:t xml:space="preserve">in vivo </w:t>
      </w:r>
      <w:r>
        <w:t>CasKAS profiles (Fig</w:t>
      </w:r>
      <w:proofErr w:type="gramStart"/>
      <w:r>
        <w:t xml:space="preserve">. </w:t>
      </w:r>
      <w:r>
        <w:rPr>
          <w:b/>
        </w:rPr>
        <w:t>??</w:t>
      </w:r>
      <w:r>
        <w:t>g-</w:t>
      </w:r>
      <w:proofErr w:type="gramEnd"/>
      <w:r>
        <w:t>h). We find many fewer strongly enriched sites in</w:t>
      </w:r>
      <w:r>
        <w:t xml:space="preserve"> </w:t>
      </w:r>
      <w:r>
        <w:rPr>
          <w:i/>
        </w:rPr>
        <w:t xml:space="preserve">in vivo </w:t>
      </w:r>
      <w:r>
        <w:t xml:space="preserve">datasets than </w:t>
      </w:r>
      <w:r>
        <w:rPr>
          <w:i/>
        </w:rPr>
        <w:t>in vitro</w:t>
      </w:r>
      <w:r>
        <w:t>, with the on-target site being either the top (for dCas9) or among the top (for Cas9) sites in vivo. A potential explanation for this difference is the previously reported impediment of Cas9/dCas9 binding to DNA by the prese</w:t>
      </w:r>
      <w:r>
        <w:t>nce of nucleosomes</w:t>
      </w:r>
      <w:proofErr w:type="gramStart"/>
      <w:r>
        <w:rPr>
          <w:b/>
          <w:vertAlign w:val="superscript"/>
        </w:rPr>
        <w:t xml:space="preserve">? </w:t>
      </w:r>
      <w:r>
        <w:t>.</w:t>
      </w:r>
      <w:proofErr w:type="gramEnd"/>
    </w:p>
    <w:p w:rsidR="006905D1" w:rsidRDefault="005056FB">
      <w:pPr>
        <w:ind w:left="-15" w:right="120"/>
      </w:pPr>
      <w:r>
        <w:t xml:space="preserve">In conclusion, we have presented CasKAS, a simple and robust method for mapping the specificity of active and catalytically dead versions of CRISPR enzymes. CasKAS has numerous advantages over existing tools while also opening up new </w:t>
      </w:r>
      <w:r>
        <w:t xml:space="preserve">possibilities for studying CRISPR biology. CasKAS requires no specialized molecular biology protocols, takes just a few hours </w:t>
      </w:r>
      <w:r>
        <w:rPr>
          <w:i/>
        </w:rPr>
        <w:t xml:space="preserve">in vitro </w:t>
      </w:r>
      <w:r>
        <w:t xml:space="preserve">(and a similar amount of time after harvesting cells </w:t>
      </w:r>
      <w:r>
        <w:rPr>
          <w:i/>
        </w:rPr>
        <w:t>in vivo</w:t>
      </w:r>
      <w:r>
        <w:t>), and, due to the strong, active enrichment of target sequen</w:t>
      </w:r>
      <w:r>
        <w:t xml:space="preserve">ces, is inexpensive. In contrast to previously developed methods, It measures strand invasion by CRISPR, which is biochemically more specific and relevant to CRISPR function than DNA association. We compared </w:t>
      </w:r>
      <w:r>
        <w:rPr>
          <w:i/>
        </w:rPr>
        <w:t xml:space="preserve">de novo </w:t>
      </w:r>
      <w:r>
        <w:t>called CasKAS peaks to those generated b</w:t>
      </w:r>
      <w:r>
        <w:t xml:space="preserve">y other means, and while we found large sets of peaks unique to each method, those found only by CasKAS contained much higher fractions of predicted off-target sites than those unique to other methods (Supplementary Fig. </w:t>
      </w:r>
      <w:r>
        <w:rPr>
          <w:b/>
        </w:rPr>
        <w:t>??</w:t>
      </w:r>
      <w:r>
        <w:t>).</w:t>
      </w:r>
    </w:p>
    <w:p w:rsidR="006905D1" w:rsidRDefault="005056FB">
      <w:pPr>
        <w:ind w:left="-15" w:right="120"/>
      </w:pPr>
      <w:r>
        <w:t>CasKAS does not rely on measur</w:t>
      </w:r>
      <w:r>
        <w:t>ing DNA cleavage or modification and can thus be used to profile the specificity of all types of DNA-targeting CRISPR proteins. CasKAS also does not rely on cellular repair processes, cell division, or delivery of additional exogenous DNA (as in GUIDE-seq)</w:t>
      </w:r>
      <w:r>
        <w:t xml:space="preserve"> to generate a detectable signal. These advantages, coupled with low cell input requirements, may increase the utility of the method in rare primary cell types, tissues from animal models, or even for direct assessment of specificity in edited patient cell</w:t>
      </w:r>
      <w:r>
        <w:t xml:space="preserve">s (e.g. </w:t>
      </w:r>
      <w:r>
        <w:rPr>
          <w:i/>
        </w:rPr>
        <w:t xml:space="preserve">ex vivo </w:t>
      </w:r>
      <w:r>
        <w:t>edited immune cells). A current limitation of CasKAS is the requirement that a G nucleotide is present within the sgRNA sequence, since kethoxal requires an exposed G to react with. However, only a small fraction (</w:t>
      </w:r>
      <w:r>
        <w:t>≤</w:t>
      </w:r>
      <w:r>
        <w:t>5%) of sgRNAs in the huma</w:t>
      </w:r>
      <w:r>
        <w:t xml:space="preserve">n genome lack any Gs for </w:t>
      </w:r>
      <w:r>
        <w:rPr>
          <w:i/>
        </w:rPr>
        <w:t xml:space="preserve">S. pyogenes </w:t>
      </w:r>
      <w:r>
        <w:t>PAM sequences (Supplementary Fig</w:t>
      </w:r>
      <w:proofErr w:type="gramStart"/>
      <w:r>
        <w:t xml:space="preserve">. </w:t>
      </w:r>
      <w:r>
        <w:rPr>
          <w:b/>
        </w:rPr>
        <w:t>??</w:t>
      </w:r>
      <w:proofErr w:type="gramEnd"/>
      <w:r>
        <w:t xml:space="preserve">). Another minor limitation of the current </w:t>
      </w:r>
      <w:r>
        <w:rPr>
          <w:i/>
        </w:rPr>
        <w:t xml:space="preserve">in vitro </w:t>
      </w:r>
      <w:r>
        <w:t xml:space="preserve">protocol is that labeling is carried out on high molecular weight (HMW) DNA and samples must be sheared serially. We have explored </w:t>
      </w:r>
      <w:r>
        <w:t xml:space="preserve">using pre-sheared and end-repaired DNA (to minimize kethoxal labeling of Gs on sticky ends generated by sonication), with comparable results to using HMW DNA (Supplementary Fig. </w:t>
      </w:r>
      <w:r>
        <w:rPr>
          <w:b/>
        </w:rPr>
        <w:t>??</w:t>
      </w:r>
      <w:r>
        <w:t>); we anticipate that further optimization or using other approaches, such a</w:t>
      </w:r>
      <w:r>
        <w:t>s enzymatic fragmentation, should allow the parallel high-throughput plate-based profiling of the specificity of very large numbers of sgRNAs.</w:t>
      </w:r>
    </w:p>
    <w:p w:rsidR="006905D1" w:rsidRDefault="005056FB">
      <w:pPr>
        <w:ind w:left="-15" w:right="120"/>
      </w:pPr>
      <w:r>
        <w:t xml:space="preserve">In addition to being highly valuable for off-target profiling </w:t>
      </w:r>
      <w:r>
        <w:rPr>
          <w:i/>
        </w:rPr>
        <w:t xml:space="preserve">in vitro </w:t>
      </w:r>
      <w:r>
        <w:t>and in previously difficult to assay setti</w:t>
      </w:r>
      <w:r>
        <w:t xml:space="preserve">ngs such as primary cells, we expect CasKAS to provide fruitful insights into the mechanisms and dynamics of </w:t>
      </w:r>
      <w:r>
        <w:rPr>
          <w:i/>
        </w:rPr>
        <w:t xml:space="preserve">in vivo </w:t>
      </w:r>
      <w:r>
        <w:t>CRISPR action (taking advantage of finely controllable CRISPR systems such as vfCRISPR</w:t>
      </w:r>
      <w:proofErr w:type="gramStart"/>
      <w:r>
        <w:rPr>
          <w:b/>
          <w:vertAlign w:val="superscript"/>
        </w:rPr>
        <w:t xml:space="preserve">? </w:t>
      </w:r>
      <w:r>
        <w:t>)</w:t>
      </w:r>
      <w:proofErr w:type="gramEnd"/>
      <w:r>
        <w:t>, and the influence of transcriptional, regulatory, and epigenetic and other functional genomic contexts on CRISPR activity.</w:t>
      </w:r>
    </w:p>
    <w:p w:rsidR="006905D1" w:rsidRDefault="005056FB">
      <w:pPr>
        <w:pStyle w:val="Heading1"/>
        <w:spacing w:after="163"/>
      </w:pPr>
      <w:r>
        <w:lastRenderedPageBreak/>
        <w:t>Methods</w:t>
      </w:r>
    </w:p>
    <w:p w:rsidR="006905D1" w:rsidRDefault="005056FB">
      <w:pPr>
        <w:pStyle w:val="Heading2"/>
        <w:spacing w:after="114"/>
      </w:pPr>
      <w:r>
        <w:t>Guide RNA sequences</w:t>
      </w:r>
    </w:p>
    <w:p w:rsidR="006905D1" w:rsidRDefault="005056FB">
      <w:pPr>
        <w:spacing w:after="214"/>
        <w:ind w:left="284" w:right="1383" w:hanging="299"/>
      </w:pPr>
      <w:r>
        <w:t>Guide RNAs were obtained from IDT (“sgRNA #1” and “sgRNA #2”) or from Synthego (all others). The follo</w:t>
      </w:r>
      <w:r>
        <w:t>wing sgRNA sequences were used in this study:</w:t>
      </w:r>
    </w:p>
    <w:p w:rsidR="006905D1" w:rsidRDefault="005056FB">
      <w:pPr>
        <w:numPr>
          <w:ilvl w:val="0"/>
          <w:numId w:val="1"/>
        </w:numPr>
        <w:spacing w:after="176" w:line="259" w:lineRule="auto"/>
        <w:ind w:left="484" w:right="0" w:hanging="255"/>
        <w:jc w:val="left"/>
      </w:pPr>
      <w:r>
        <w:t xml:space="preserve">“sgRNA #1”: </w:t>
      </w:r>
      <w:r>
        <w:rPr>
          <w:rFonts w:ascii="Calibri" w:eastAsia="Calibri" w:hAnsi="Calibri" w:cs="Calibri"/>
        </w:rPr>
        <w:t>GCTTAATTAAGGTAAACGTC</w:t>
      </w:r>
    </w:p>
    <w:p w:rsidR="006905D1" w:rsidRDefault="005056FB">
      <w:pPr>
        <w:numPr>
          <w:ilvl w:val="0"/>
          <w:numId w:val="1"/>
        </w:numPr>
        <w:spacing w:after="176" w:line="259" w:lineRule="auto"/>
        <w:ind w:left="484" w:right="0" w:hanging="255"/>
        <w:jc w:val="left"/>
      </w:pPr>
      <w:r>
        <w:t xml:space="preserve">“sgRNA #2”: </w:t>
      </w:r>
      <w:r>
        <w:rPr>
          <w:rFonts w:ascii="Calibri" w:eastAsia="Calibri" w:hAnsi="Calibri" w:cs="Calibri"/>
        </w:rPr>
        <w:t>CCAACCTGGCGGCTCGTTGG</w:t>
      </w:r>
    </w:p>
    <w:p w:rsidR="006905D1" w:rsidRDefault="005056FB">
      <w:pPr>
        <w:numPr>
          <w:ilvl w:val="0"/>
          <w:numId w:val="1"/>
        </w:numPr>
        <w:spacing w:after="176" w:line="259" w:lineRule="auto"/>
        <w:ind w:left="484" w:right="0" w:hanging="255"/>
        <w:jc w:val="left"/>
      </w:pPr>
      <w:r>
        <w:t xml:space="preserve">“EMX1 Tsai”: </w:t>
      </w:r>
      <w:r>
        <w:rPr>
          <w:rFonts w:ascii="Calibri" w:eastAsia="Calibri" w:hAnsi="Calibri" w:cs="Calibri"/>
        </w:rPr>
        <w:t>GAGTCCGAGCAGAAGAAGAA</w:t>
      </w:r>
    </w:p>
    <w:p w:rsidR="006905D1" w:rsidRDefault="005056FB">
      <w:pPr>
        <w:numPr>
          <w:ilvl w:val="0"/>
          <w:numId w:val="1"/>
        </w:numPr>
        <w:spacing w:after="176" w:line="259" w:lineRule="auto"/>
        <w:ind w:left="484" w:right="0" w:hanging="255"/>
        <w:jc w:val="left"/>
      </w:pPr>
      <w:r>
        <w:t xml:space="preserve">“VEGFA-site1”: </w:t>
      </w:r>
      <w:r>
        <w:rPr>
          <w:rFonts w:ascii="Calibri" w:eastAsia="Calibri" w:hAnsi="Calibri" w:cs="Calibri"/>
        </w:rPr>
        <w:t>GGGTGGGGGGAGTTTGCTCC</w:t>
      </w:r>
    </w:p>
    <w:p w:rsidR="006905D1" w:rsidRDefault="005056FB">
      <w:pPr>
        <w:numPr>
          <w:ilvl w:val="0"/>
          <w:numId w:val="1"/>
        </w:numPr>
        <w:spacing w:after="176" w:line="259" w:lineRule="auto"/>
        <w:ind w:left="484" w:right="0" w:hanging="255"/>
        <w:jc w:val="left"/>
      </w:pPr>
      <w:r>
        <w:t xml:space="preserve">“Nanog-sg2”: </w:t>
      </w:r>
      <w:r>
        <w:rPr>
          <w:rFonts w:ascii="Calibri" w:eastAsia="Calibri" w:hAnsi="Calibri" w:cs="Calibri"/>
        </w:rPr>
        <w:t>GATCTCTAGTGGGAAGTTTC</w:t>
      </w:r>
    </w:p>
    <w:p w:rsidR="006905D1" w:rsidRDefault="005056FB">
      <w:pPr>
        <w:numPr>
          <w:ilvl w:val="0"/>
          <w:numId w:val="1"/>
        </w:numPr>
        <w:spacing w:after="212" w:line="259" w:lineRule="auto"/>
        <w:ind w:left="484" w:right="0" w:hanging="255"/>
        <w:jc w:val="left"/>
      </w:pPr>
      <w:r>
        <w:t xml:space="preserve">“Nanog-sg3”: </w:t>
      </w:r>
      <w:r>
        <w:rPr>
          <w:rFonts w:ascii="Calibri" w:eastAsia="Calibri" w:hAnsi="Calibri" w:cs="Calibri"/>
        </w:rPr>
        <w:t>GTCTGTAGAAAGAATGGAAG</w:t>
      </w:r>
    </w:p>
    <w:p w:rsidR="006905D1" w:rsidRDefault="005056FB">
      <w:pPr>
        <w:spacing w:after="307" w:line="259" w:lineRule="auto"/>
        <w:ind w:right="201" w:firstLine="0"/>
        <w:jc w:val="center"/>
      </w:pPr>
      <w:r>
        <w:t xml:space="preserve">Guide RNAs were dissolved to a concentration of 100 </w:t>
      </w:r>
      <w:r>
        <w:rPr>
          <w:i/>
        </w:rPr>
        <w:t>µ</w:t>
      </w:r>
      <w:r>
        <w:t>M using nuclease-free 1</w:t>
      </w:r>
      <w:r>
        <w:t xml:space="preserve">× </w:t>
      </w:r>
      <w:r>
        <w:t>TE buffer and stored at –20</w:t>
      </w:r>
      <w:r>
        <w:rPr>
          <w:vertAlign w:val="superscript"/>
        </w:rPr>
        <w:t>◦</w:t>
      </w:r>
      <w:r>
        <w:t>C.</w:t>
      </w:r>
    </w:p>
    <w:p w:rsidR="006905D1" w:rsidRDefault="005056FB">
      <w:pPr>
        <w:spacing w:after="139" w:line="259" w:lineRule="auto"/>
        <w:ind w:left="10" w:right="135" w:hanging="10"/>
        <w:jc w:val="center"/>
      </w:pPr>
      <w:r>
        <w:rPr>
          <w:rFonts w:ascii="Calibri" w:eastAsia="Calibri" w:hAnsi="Calibri" w:cs="Calibri"/>
          <w:i/>
        </w:rPr>
        <w:t xml:space="preserve">In vitro </w:t>
      </w:r>
      <w:r>
        <w:rPr>
          <w:b/>
        </w:rPr>
        <w:t>CasKAS</w:t>
      </w:r>
    </w:p>
    <w:p w:rsidR="006905D1" w:rsidRDefault="005056FB">
      <w:pPr>
        <w:ind w:left="-15" w:right="120" w:firstLine="0"/>
      </w:pPr>
      <w:r>
        <w:rPr>
          <w:i/>
        </w:rPr>
        <w:t xml:space="preserve">In vitro </w:t>
      </w:r>
      <w:r>
        <w:t>CasKAS experiments were executed as follows.</w:t>
      </w:r>
    </w:p>
    <w:p w:rsidR="006905D1" w:rsidRDefault="005056FB">
      <w:pPr>
        <w:ind w:left="-15" w:right="120"/>
      </w:pPr>
      <w:r>
        <w:t xml:space="preserve">First, 1 </w:t>
      </w:r>
      <w:r>
        <w:rPr>
          <w:i/>
        </w:rPr>
        <w:t>µ</w:t>
      </w:r>
      <w:r>
        <w:t>L of each synthetic sgRNA were incubated at room temperature with 1</w:t>
      </w:r>
      <w:r>
        <w:t xml:space="preserve"> </w:t>
      </w:r>
      <w:r>
        <w:rPr>
          <w:i/>
        </w:rPr>
        <w:t>µ</w:t>
      </w:r>
      <w:r>
        <w:t xml:space="preserve">L of recombinant purified dCas9 (MCLab dCAS9B-200) for 20 minutes. The RNP was then incubated with 1 </w:t>
      </w:r>
      <w:r>
        <w:rPr>
          <w:i/>
        </w:rPr>
        <w:t>µ</w:t>
      </w:r>
      <w:r>
        <w:t>g of gDNA at 37</w:t>
      </w:r>
      <w:r>
        <w:rPr>
          <w:vertAlign w:val="superscript"/>
        </w:rPr>
        <w:t>◦</w:t>
      </w:r>
      <w:r>
        <w:t>C for 10 minutes.</w:t>
      </w:r>
    </w:p>
    <w:p w:rsidR="006905D1" w:rsidRDefault="005056FB">
      <w:pPr>
        <w:spacing w:after="280"/>
        <w:ind w:left="-15" w:right="120"/>
      </w:pPr>
      <w:r>
        <w:t xml:space="preserve">The KAS reaction was then carried out by adding 1 </w:t>
      </w:r>
      <w:r>
        <w:rPr>
          <w:i/>
        </w:rPr>
        <w:t>µ</w:t>
      </w:r>
      <w:r>
        <w:t>L of 500 mM N</w:t>
      </w:r>
      <w:r>
        <w:rPr>
          <w:vertAlign w:val="subscript"/>
        </w:rPr>
        <w:t>3</w:t>
      </w:r>
      <w:r>
        <w:t>-kethoxal (ApeXBio A8793). DNA was immediately purifi</w:t>
      </w:r>
      <w:r>
        <w:t xml:space="preserve">ed using the MinElute PCR Purification Kit (Qiagen 28006), and eluted in 87.5 or 175 </w:t>
      </w:r>
      <w:r>
        <w:rPr>
          <w:i/>
        </w:rPr>
        <w:t>µ</w:t>
      </w:r>
      <w:r>
        <w:t>L 25mM K</w:t>
      </w:r>
      <w:r>
        <w:rPr>
          <w:vertAlign w:val="subscript"/>
        </w:rPr>
        <w:t>3</w:t>
      </w:r>
      <w:r>
        <w:t>BO</w:t>
      </w:r>
      <w:r>
        <w:rPr>
          <w:vertAlign w:val="subscript"/>
        </w:rPr>
        <w:t>3</w:t>
      </w:r>
      <w:r>
        <w:t>.</w:t>
      </w:r>
    </w:p>
    <w:p w:rsidR="006905D1" w:rsidRDefault="005056FB">
      <w:pPr>
        <w:spacing w:after="139" w:line="259" w:lineRule="auto"/>
        <w:ind w:left="10" w:right="135" w:hanging="10"/>
        <w:jc w:val="center"/>
      </w:pPr>
      <w:r>
        <w:rPr>
          <w:rFonts w:ascii="Calibri" w:eastAsia="Calibri" w:hAnsi="Calibri" w:cs="Calibri"/>
          <w:i/>
        </w:rPr>
        <w:t xml:space="preserve">In vivo </w:t>
      </w:r>
      <w:r>
        <w:rPr>
          <w:b/>
        </w:rPr>
        <w:t>CasKAS</w:t>
      </w:r>
    </w:p>
    <w:p w:rsidR="006905D1" w:rsidRDefault="005056FB">
      <w:pPr>
        <w:spacing w:after="271"/>
        <w:ind w:left="-15" w:right="120" w:firstLine="0"/>
      </w:pPr>
      <w:r>
        <w:t xml:space="preserve">For </w:t>
      </w:r>
      <w:r>
        <w:rPr>
          <w:i/>
        </w:rPr>
        <w:t xml:space="preserve">in vivo </w:t>
      </w:r>
      <w:r>
        <w:t>CasKAS experiments, HEK293T cells were seeded at 400,000 cells/well into a 6-well plate the day before RNP transfection. Media was exchanged 2 hours before transfection. For each well, 6,250 ng of Cas9 (MCLAB CAS9-200) or dCas9 (MCLAB dCAS9B-200) and 1,200</w:t>
      </w:r>
      <w:r>
        <w:t xml:space="preserve"> ng sgRNA was complexed with CRISPRMAX (Thermo Fisher CMAX00008) reagent in Opti-MEM (Thermo Fisher 51985091) following manufacturer’s protocol. After incubation at room temperature for 15 minutes, the RNP solution was directly added to each well and gentl</w:t>
      </w:r>
      <w:r>
        <w:t>y mixed. The cells were incubated with the RNP complex for 14 hours at 37</w:t>
      </w:r>
      <w:r>
        <w:rPr>
          <w:vertAlign w:val="superscript"/>
        </w:rPr>
        <w:t>◦</w:t>
      </w:r>
      <w:r>
        <w:t>C. To harvest and perform kethoxal labeling, media was removed and room temperature 1</w:t>
      </w:r>
      <w:r>
        <w:t xml:space="preserve">× </w:t>
      </w:r>
      <w:r>
        <w:t xml:space="preserve">PBS was used to wash the cells. Cells were then dissociated with trypsin, trypsin was quenched </w:t>
      </w:r>
      <w:r>
        <w:t xml:space="preserve">with media, cells were pelleted at room temperature, and then resuspended in 100 </w:t>
      </w:r>
      <w:r>
        <w:rPr>
          <w:i/>
        </w:rPr>
        <w:t>µ</w:t>
      </w:r>
      <w:r>
        <w:t>L of media supplemented with 5 M N</w:t>
      </w:r>
      <w:r>
        <w:rPr>
          <w:vertAlign w:val="subscript"/>
        </w:rPr>
        <w:t>3</w:t>
      </w:r>
      <w:r>
        <w:t>-kethoxal (final concentration). Cells were incubated for 10 minutes at 37</w:t>
      </w:r>
      <w:r>
        <w:rPr>
          <w:vertAlign w:val="superscript"/>
        </w:rPr>
        <w:t>◦</w:t>
      </w:r>
      <w:r>
        <w:t>C with shaking at 500 rpm in a Thermomixer. Cells were then pell</w:t>
      </w:r>
      <w:r>
        <w:t xml:space="preserve">eted by centrifuging at 500 </w:t>
      </w:r>
      <w:r>
        <w:rPr>
          <w:i/>
        </w:rPr>
        <w:t xml:space="preserve">g </w:t>
      </w:r>
      <w:r>
        <w:t>for 5 minutes at 4</w:t>
      </w:r>
      <w:r>
        <w:rPr>
          <w:vertAlign w:val="superscript"/>
        </w:rPr>
        <w:t>◦</w:t>
      </w:r>
      <w:r>
        <w:t xml:space="preserve">C. Genomic DNA was then extracted using the Monarch gDNA Purification Kit (NEB T3010S) following the standard protocol but with elution using 175 </w:t>
      </w:r>
      <w:r>
        <w:rPr>
          <w:i/>
        </w:rPr>
        <w:t>µ</w:t>
      </w:r>
      <w:r>
        <w:t>L 25 mM K</w:t>
      </w:r>
      <w:r>
        <w:rPr>
          <w:vertAlign w:val="subscript"/>
        </w:rPr>
        <w:t>3</w:t>
      </w:r>
      <w:r>
        <w:t>BO</w:t>
      </w:r>
      <w:r>
        <w:rPr>
          <w:vertAlign w:val="subscript"/>
        </w:rPr>
        <w:t xml:space="preserve">3 </w:t>
      </w:r>
      <w:r>
        <w:t>at pH 7.0.</w:t>
      </w:r>
    </w:p>
    <w:p w:rsidR="006905D1" w:rsidRDefault="005056FB">
      <w:pPr>
        <w:pStyle w:val="Heading2"/>
        <w:ind w:right="135"/>
      </w:pPr>
      <w:r>
        <w:t>Click reaction, biotin pull down an</w:t>
      </w:r>
      <w:r>
        <w:t>d library generation</w:t>
      </w:r>
    </w:p>
    <w:p w:rsidR="006905D1" w:rsidRDefault="005056FB">
      <w:pPr>
        <w:spacing w:after="27"/>
        <w:ind w:left="-15" w:right="120" w:firstLine="0"/>
      </w:pPr>
      <w:r>
        <w:t xml:space="preserve">The click reaction was carried out by combining 175 </w:t>
      </w:r>
      <w:r>
        <w:rPr>
          <w:i/>
        </w:rPr>
        <w:t>µ</w:t>
      </w:r>
      <w:r>
        <w:t xml:space="preserve">L purified DNA, 5 </w:t>
      </w:r>
      <w:r>
        <w:rPr>
          <w:i/>
        </w:rPr>
        <w:t>µ</w:t>
      </w:r>
      <w:r>
        <w:t xml:space="preserve">L 20 mM DBCO-PEG4-biotin (DMSO solution, Sigma 760749), and 20 </w:t>
      </w:r>
      <w:r>
        <w:rPr>
          <w:i/>
        </w:rPr>
        <w:t>µ</w:t>
      </w:r>
      <w:r>
        <w:t>L 10</w:t>
      </w:r>
      <w:r>
        <w:t xml:space="preserve">× </w:t>
      </w:r>
      <w:r>
        <w:t xml:space="preserve">PBS in a final volume of 200 </w:t>
      </w:r>
      <w:r>
        <w:rPr>
          <w:i/>
        </w:rPr>
        <w:t>µ</w:t>
      </w:r>
      <w:r>
        <w:t xml:space="preserve">L or 87.5 </w:t>
      </w:r>
      <w:r>
        <w:rPr>
          <w:i/>
        </w:rPr>
        <w:t>µ</w:t>
      </w:r>
      <w:r>
        <w:t xml:space="preserve">L purified and sheared DNA, 2.5 </w:t>
      </w:r>
      <w:r>
        <w:rPr>
          <w:i/>
        </w:rPr>
        <w:t>µ</w:t>
      </w:r>
      <w:r>
        <w:t>L 20 mM DBCO-PEG4-b</w:t>
      </w:r>
      <w:r>
        <w:t xml:space="preserve">iotin (DMSO solution, Sigma 760749), and 10 </w:t>
      </w:r>
      <w:r>
        <w:rPr>
          <w:i/>
        </w:rPr>
        <w:t>µ</w:t>
      </w:r>
      <w:r>
        <w:t>L 10</w:t>
      </w:r>
      <w:r>
        <w:t xml:space="preserve">× </w:t>
      </w:r>
      <w:r>
        <w:t xml:space="preserve">PBS in a final volume of 100 </w:t>
      </w:r>
      <w:r>
        <w:rPr>
          <w:i/>
        </w:rPr>
        <w:t>µ</w:t>
      </w:r>
      <w:r>
        <w:t>L. The reaction was incubated at 37</w:t>
      </w:r>
      <w:r>
        <w:rPr>
          <w:vertAlign w:val="superscript"/>
        </w:rPr>
        <w:t>◦</w:t>
      </w:r>
      <w:r>
        <w:t>C for 90 minutes.</w:t>
      </w:r>
    </w:p>
    <w:p w:rsidR="006905D1" w:rsidRDefault="005056FB">
      <w:pPr>
        <w:ind w:left="-15" w:right="120"/>
      </w:pPr>
      <w:r>
        <w:t xml:space="preserve">DNA was purified using AMPure XP beads (50 </w:t>
      </w:r>
      <w:r>
        <w:rPr>
          <w:i/>
        </w:rPr>
        <w:t>µ</w:t>
      </w:r>
      <w:r>
        <w:t xml:space="preserve">L for a 100 </w:t>
      </w:r>
      <w:r>
        <w:rPr>
          <w:i/>
        </w:rPr>
        <w:t>µ</w:t>
      </w:r>
      <w:r>
        <w:t xml:space="preserve">L reaction or 100 </w:t>
      </w:r>
      <w:r>
        <w:rPr>
          <w:i/>
        </w:rPr>
        <w:t>µ</w:t>
      </w:r>
      <w:r>
        <w:t xml:space="preserve">L for a 200 </w:t>
      </w:r>
      <w:r>
        <w:rPr>
          <w:i/>
        </w:rPr>
        <w:t>µ</w:t>
      </w:r>
      <w:r>
        <w:t>L reaction), beads were washed o</w:t>
      </w:r>
      <w:r>
        <w:t xml:space="preserve">n a magnetic stand twice with 80% EtOH, and eluted in 130 </w:t>
      </w:r>
      <w:r>
        <w:rPr>
          <w:i/>
        </w:rPr>
        <w:t>µ</w:t>
      </w:r>
      <w:r>
        <w:t>L 25mM K</w:t>
      </w:r>
      <w:r>
        <w:rPr>
          <w:vertAlign w:val="subscript"/>
        </w:rPr>
        <w:t>3</w:t>
      </w:r>
      <w:r>
        <w:t>BO</w:t>
      </w:r>
      <w:r>
        <w:rPr>
          <w:vertAlign w:val="subscript"/>
        </w:rPr>
        <w:t>3</w:t>
      </w:r>
      <w:r>
        <w:t>.</w:t>
      </w:r>
    </w:p>
    <w:p w:rsidR="006905D1" w:rsidRDefault="005056FB">
      <w:pPr>
        <w:ind w:left="299" w:right="120" w:firstLine="0"/>
      </w:pPr>
      <w:r>
        <w:t xml:space="preserve">Purified DNA was then sheared on a Covaris E220 instrument down to </w:t>
      </w:r>
      <w:r>
        <w:t>∼</w:t>
      </w:r>
      <w:r>
        <w:t>150-400 bp size.</w:t>
      </w:r>
    </w:p>
    <w:p w:rsidR="006905D1" w:rsidRDefault="005056FB">
      <w:pPr>
        <w:ind w:left="-15" w:right="120"/>
      </w:pPr>
      <w:r>
        <w:t xml:space="preserve">For streptavidin pulldown of biotin-labeled DNA, 10 </w:t>
      </w:r>
      <w:r>
        <w:rPr>
          <w:i/>
        </w:rPr>
        <w:t>µ</w:t>
      </w:r>
      <w:r>
        <w:t xml:space="preserve">L of 10 mg/mL Dynabeads MyOne Streptavidin T1 beads (Life Technologies, 65602) were separated on a magnetic stand, then washed with 300 </w:t>
      </w:r>
      <w:r>
        <w:rPr>
          <w:i/>
        </w:rPr>
        <w:t>µ</w:t>
      </w:r>
      <w:r>
        <w:t>L of 1</w:t>
      </w:r>
      <w:r>
        <w:t xml:space="preserve">× </w:t>
      </w:r>
      <w:r>
        <w:t>TWB (Tween Washing Buffer; 5 mM Tris-HCl pH 7.5; 0.5 mM EDTA; 1 M NaCl; 0.05% Tween 20). The beads were resuspe</w:t>
      </w:r>
      <w:r>
        <w:t xml:space="preserve">nded in 300 </w:t>
      </w:r>
      <w:r>
        <w:rPr>
          <w:i/>
        </w:rPr>
        <w:t>µ</w:t>
      </w:r>
      <w:r>
        <w:t>L of 2</w:t>
      </w:r>
      <w:r>
        <w:t xml:space="preserve">× </w:t>
      </w:r>
      <w:r>
        <w:t xml:space="preserve">Binding Buffer </w:t>
      </w:r>
      <w:r>
        <w:lastRenderedPageBreak/>
        <w:t xml:space="preserve">(10 mM Tris-HCl pH 7.5, 1 mM EDTA; 2 M NaCl), the sonicated DNA was added (diluted to a final volume of 300 </w:t>
      </w:r>
      <w:r>
        <w:rPr>
          <w:i/>
        </w:rPr>
        <w:t>µ</w:t>
      </w:r>
      <w:r>
        <w:t xml:space="preserve">L if necessary), and the beads were incubated for </w:t>
      </w:r>
      <w:r>
        <w:t>≥</w:t>
      </w:r>
      <w:r>
        <w:t xml:space="preserve">15 minutes at room temperature on a rotator. After separation on a magnetic stand, the beads were washed with 300 </w:t>
      </w:r>
      <w:r>
        <w:rPr>
          <w:i/>
        </w:rPr>
        <w:t>µ</w:t>
      </w:r>
      <w:r>
        <w:t>L of 1</w:t>
      </w:r>
      <w:r>
        <w:t xml:space="preserve">× </w:t>
      </w:r>
      <w:r>
        <w:t>TWB, and heated at 55</w:t>
      </w:r>
      <w:r>
        <w:rPr>
          <w:vertAlign w:val="superscript"/>
        </w:rPr>
        <w:t>◦</w:t>
      </w:r>
      <w:r>
        <w:t>C in a Thermomixer with shaking for 2 minutes. After removal of the supernatant on a magnetic stand, the TWB wa</w:t>
      </w:r>
      <w:r>
        <w:t>sh and 55</w:t>
      </w:r>
      <w:r>
        <w:rPr>
          <w:vertAlign w:val="superscript"/>
        </w:rPr>
        <w:t>◦</w:t>
      </w:r>
      <w:r>
        <w:t>C incubation were repeated.</w:t>
      </w:r>
    </w:p>
    <w:p w:rsidR="006905D1" w:rsidRDefault="005056FB">
      <w:pPr>
        <w:spacing w:after="25"/>
        <w:ind w:left="-15" w:right="120"/>
      </w:pPr>
      <w:r>
        <w:t xml:space="preserve">Final libraries were prepared on beads using the NEBNext Ultra II DNA Library Prep Kit (NEB, #E7645) as follows. End repair was carried out by resuspending beads in 50 </w:t>
      </w:r>
      <w:r>
        <w:rPr>
          <w:i/>
        </w:rPr>
        <w:t>µ</w:t>
      </w:r>
      <w:r>
        <w:t>L 1</w:t>
      </w:r>
      <w:r>
        <w:t xml:space="preserve">× </w:t>
      </w:r>
      <w:r>
        <w:t xml:space="preserve">EB buffer, and adding 3 </w:t>
      </w:r>
      <w:r>
        <w:rPr>
          <w:i/>
        </w:rPr>
        <w:t>µ</w:t>
      </w:r>
      <w:r>
        <w:t>L NEB Ultra End Rep</w:t>
      </w:r>
      <w:r>
        <w:t xml:space="preserve">air Enzyme and 7 </w:t>
      </w:r>
      <w:r>
        <w:rPr>
          <w:i/>
        </w:rPr>
        <w:t>µ</w:t>
      </w:r>
      <w:r>
        <w:t>L NEB Ultra End Repair Enzyme, followed by incubation at 20</w:t>
      </w:r>
      <w:r>
        <w:rPr>
          <w:vertAlign w:val="superscript"/>
        </w:rPr>
        <w:t>◦</w:t>
      </w:r>
      <w:r>
        <w:t>C for 30 minutes (in a Thermomixer, with shaking at 1,000 rpm) and then at 65</w:t>
      </w:r>
      <w:r>
        <w:rPr>
          <w:vertAlign w:val="superscript"/>
        </w:rPr>
        <w:t>◦</w:t>
      </w:r>
      <w:r>
        <w:t>C for 30 minutes.</w:t>
      </w:r>
    </w:p>
    <w:p w:rsidR="006905D1" w:rsidRDefault="005056FB">
      <w:pPr>
        <w:ind w:left="-15" w:right="120"/>
      </w:pPr>
      <w:r>
        <w:t xml:space="preserve">Adapters were ligated to DNA fragments by adding 30 </w:t>
      </w:r>
      <w:r>
        <w:rPr>
          <w:i/>
        </w:rPr>
        <w:t>µ</w:t>
      </w:r>
      <w:r>
        <w:t xml:space="preserve">L Blunt Ligation mix, 1 </w:t>
      </w:r>
      <w:r>
        <w:rPr>
          <w:i/>
        </w:rPr>
        <w:t>µ</w:t>
      </w:r>
      <w:r>
        <w:t>L Li</w:t>
      </w:r>
      <w:r>
        <w:t xml:space="preserve">gation Enhancer and 2.5 </w:t>
      </w:r>
      <w:r>
        <w:rPr>
          <w:i/>
        </w:rPr>
        <w:t>µ</w:t>
      </w:r>
      <w:r>
        <w:t>L NEB Adapter, incubating at 20</w:t>
      </w:r>
      <w:r>
        <w:rPr>
          <w:vertAlign w:val="superscript"/>
        </w:rPr>
        <w:t>◦</w:t>
      </w:r>
      <w:r>
        <w:t xml:space="preserve">C for 20 minutes, adding 3 </w:t>
      </w:r>
      <w:r>
        <w:rPr>
          <w:i/>
        </w:rPr>
        <w:t>µ</w:t>
      </w:r>
      <w:r>
        <w:t>L USER enzyme, and incubating at 37</w:t>
      </w:r>
      <w:r>
        <w:rPr>
          <w:vertAlign w:val="superscript"/>
        </w:rPr>
        <w:t>◦</w:t>
      </w:r>
      <w:r>
        <w:t>C for 15 minutes (in a Thermomixer, with shaking at 1,000 rpm) .</w:t>
      </w:r>
    </w:p>
    <w:p w:rsidR="006905D1" w:rsidRDefault="005056FB">
      <w:pPr>
        <w:ind w:left="-15" w:right="120"/>
      </w:pPr>
      <w:r>
        <w:t xml:space="preserve">Beads were then separated on a magnetic stand, and washed with 300 </w:t>
      </w:r>
      <w:r>
        <w:rPr>
          <w:i/>
        </w:rPr>
        <w:t>µ</w:t>
      </w:r>
      <w:r>
        <w:t xml:space="preserve">L </w:t>
      </w:r>
      <w:r>
        <w:t>TWB for 2 minutes at 55</w:t>
      </w:r>
      <w:r>
        <w:rPr>
          <w:vertAlign w:val="superscript"/>
        </w:rPr>
        <w:t>◦</w:t>
      </w:r>
      <w:r>
        <w:t xml:space="preserve">C, 1000 rpm in a Thermomixer. After separation on a magnetic stand, beads were washed in 100 </w:t>
      </w:r>
      <w:r>
        <w:rPr>
          <w:i/>
        </w:rPr>
        <w:t>µ</w:t>
      </w:r>
      <w:r>
        <w:t xml:space="preserve">L 0.1 </w:t>
      </w:r>
      <w:r>
        <w:t xml:space="preserve">× </w:t>
      </w:r>
      <w:r>
        <w:t xml:space="preserve">TE buffer, then resuspended in 15 </w:t>
      </w:r>
      <w:r>
        <w:rPr>
          <w:i/>
        </w:rPr>
        <w:t>µ</w:t>
      </w:r>
      <w:r>
        <w:t xml:space="preserve">L 0.1 </w:t>
      </w:r>
      <w:r>
        <w:t xml:space="preserve">× </w:t>
      </w:r>
      <w:r>
        <w:t>TE buffer, and heated at 98</w:t>
      </w:r>
      <w:r>
        <w:rPr>
          <w:vertAlign w:val="superscript"/>
        </w:rPr>
        <w:t>◦</w:t>
      </w:r>
      <w:r>
        <w:t>C for 10 minutes.</w:t>
      </w:r>
    </w:p>
    <w:p w:rsidR="006905D1" w:rsidRDefault="005056FB">
      <w:pPr>
        <w:spacing w:after="31"/>
        <w:ind w:left="-15" w:right="120"/>
      </w:pPr>
      <w:r>
        <w:t xml:space="preserve">For PCR, 5 </w:t>
      </w:r>
      <w:r>
        <w:rPr>
          <w:i/>
        </w:rPr>
        <w:t>µ</w:t>
      </w:r>
      <w:r>
        <w:t>L of each of the i5 and i7 NE</w:t>
      </w:r>
      <w:r>
        <w:t xml:space="preserve">B Next sequencing adapters were added together with 25 </w:t>
      </w:r>
      <w:r>
        <w:rPr>
          <w:i/>
        </w:rPr>
        <w:t>µ</w:t>
      </w:r>
      <w:r>
        <w:t>L 2</w:t>
      </w:r>
      <w:r>
        <w:t xml:space="preserve">× </w:t>
      </w:r>
      <w:r>
        <w:t>NEB Ultra PCR Mater Mix. PCR was carried out with a 98</w:t>
      </w:r>
      <w:r>
        <w:rPr>
          <w:vertAlign w:val="superscript"/>
        </w:rPr>
        <w:t>◦</w:t>
      </w:r>
      <w:r>
        <w:t>C incubation for 30 seconds and 12 cycles of 98</w:t>
      </w:r>
      <w:r>
        <w:rPr>
          <w:vertAlign w:val="superscript"/>
        </w:rPr>
        <w:t>◦</w:t>
      </w:r>
      <w:r>
        <w:t>C for 10 seconds, 65</w:t>
      </w:r>
      <w:r>
        <w:rPr>
          <w:vertAlign w:val="superscript"/>
        </w:rPr>
        <w:t>◦</w:t>
      </w:r>
      <w:r>
        <w:t>C for 30 seconds, and 72</w:t>
      </w:r>
      <w:r>
        <w:rPr>
          <w:vertAlign w:val="superscript"/>
        </w:rPr>
        <w:t>◦</w:t>
      </w:r>
      <w:r>
        <w:t>C for 1 minute, followed by incubation at 72</w:t>
      </w:r>
      <w:r>
        <w:rPr>
          <w:vertAlign w:val="superscript"/>
        </w:rPr>
        <w:t>◦</w:t>
      </w:r>
      <w:r>
        <w:t>C</w:t>
      </w:r>
      <w:r>
        <w:t xml:space="preserve"> for 5 minutes.</w:t>
      </w:r>
    </w:p>
    <w:p w:rsidR="006905D1" w:rsidRDefault="005056FB">
      <w:pPr>
        <w:ind w:left="299" w:right="120" w:firstLine="0"/>
      </w:pPr>
      <w:r>
        <w:t>Beads were separated on a magnetic stand, and the supernatant was cleaned up using 1.8</w:t>
      </w:r>
      <w:r>
        <w:t xml:space="preserve">× </w:t>
      </w:r>
      <w:r>
        <w:t>AMPure XP beads.</w:t>
      </w:r>
    </w:p>
    <w:p w:rsidR="006905D1" w:rsidRDefault="005056FB">
      <w:pPr>
        <w:spacing w:after="266"/>
        <w:ind w:left="-15" w:right="120"/>
      </w:pPr>
      <w:r>
        <w:t>Libraries were sequenced in a paired-end format on a</w:t>
      </w:r>
      <w:r w:rsidR="00FE6F5F">
        <w:t>n</w:t>
      </w:r>
      <w:r>
        <w:t xml:space="preserve"> Illumina NextSeq instrument using NextSeq 500/550 high output kits (2</w:t>
      </w:r>
      <w:r>
        <w:t>×</w:t>
      </w:r>
      <w:r>
        <w:t>36 cycles).</w:t>
      </w:r>
    </w:p>
    <w:p w:rsidR="006905D1" w:rsidRDefault="005056FB">
      <w:pPr>
        <w:pStyle w:val="Heading2"/>
        <w:ind w:right="135"/>
      </w:pPr>
      <w:r>
        <w:t>Data processing</w:t>
      </w:r>
    </w:p>
    <w:p w:rsidR="006905D1" w:rsidRDefault="005056FB">
      <w:pPr>
        <w:ind w:left="-15" w:right="120" w:firstLine="0"/>
      </w:pPr>
      <w:r>
        <w:t xml:space="preserve">Demultipexed fastq files were mapped to the </w:t>
      </w:r>
      <w:r>
        <w:rPr>
          <w:rFonts w:ascii="Calibri" w:eastAsia="Calibri" w:hAnsi="Calibri" w:cs="Calibri"/>
        </w:rPr>
        <w:t xml:space="preserve">hg38 </w:t>
      </w:r>
      <w:r>
        <w:t xml:space="preserve">assembly of the human genome or the </w:t>
      </w:r>
      <w:r>
        <w:rPr>
          <w:rFonts w:ascii="Calibri" w:eastAsia="Calibri" w:hAnsi="Calibri" w:cs="Calibri"/>
        </w:rPr>
        <w:t xml:space="preserve">mm10 </w:t>
      </w:r>
      <w:r>
        <w:t>version of the mouse genome as 2</w:t>
      </w:r>
      <w:r>
        <w:t>×</w:t>
      </w:r>
      <w:r>
        <w:t>36mers using Bowtie</w:t>
      </w:r>
      <w:r>
        <w:rPr>
          <w:b/>
          <w:vertAlign w:val="superscript"/>
        </w:rPr>
        <w:t xml:space="preserve">? </w:t>
      </w:r>
      <w:proofErr w:type="gramStart"/>
      <w:r>
        <w:t>with</w:t>
      </w:r>
      <w:proofErr w:type="gramEnd"/>
      <w:r>
        <w:t xml:space="preserve"> the following settings: </w:t>
      </w:r>
      <w:r>
        <w:rPr>
          <w:rFonts w:ascii="Calibri" w:eastAsia="Calibri" w:hAnsi="Calibri" w:cs="Calibri"/>
        </w:rPr>
        <w:t>-v 2 -k 2 -m 1 --best --strata -X 1000</w:t>
      </w:r>
      <w:r>
        <w:t xml:space="preserve">. Duplicate reads were removed using </w:t>
      </w:r>
      <w:r>
        <w:rPr>
          <w:rFonts w:ascii="Calibri" w:eastAsia="Calibri" w:hAnsi="Calibri" w:cs="Calibri"/>
        </w:rPr>
        <w:t xml:space="preserve">picard-tools </w:t>
      </w:r>
      <w:r>
        <w:t>(version 1.99).</w:t>
      </w:r>
    </w:p>
    <w:p w:rsidR="006905D1" w:rsidRDefault="005056FB">
      <w:pPr>
        <w:spacing w:after="257"/>
        <w:ind w:left="-15" w:right="120"/>
      </w:pPr>
      <w:r>
        <w:t>Browser tracks generation, fragment length estimation, TSS enrichment calculations, and other analyses were carried out using custom-written Python scripts (</w:t>
      </w:r>
      <w:hyperlink r:id="rId7">
        <w:r>
          <w:rPr>
            <w:rFonts w:ascii="Calibri" w:eastAsia="Calibri" w:hAnsi="Calibri" w:cs="Calibri"/>
          </w:rPr>
          <w:t>https://github.com/georgimarinov/GeorgiScripts</w:t>
        </w:r>
      </w:hyperlink>
      <w:hyperlink r:id="rId8">
        <w:r>
          <w:t>)</w:t>
        </w:r>
      </w:hyperlink>
      <w:r>
        <w:t xml:space="preserve">. The </w:t>
      </w:r>
      <w:r>
        <w:rPr>
          <w:rFonts w:ascii="Calibri" w:eastAsia="Calibri" w:hAnsi="Calibri" w:cs="Calibri"/>
        </w:rPr>
        <w:t xml:space="preserve">refSeq </w:t>
      </w:r>
      <w:r>
        <w:t>set of annotations were used for evaluation of enrichment around TSSs.</w:t>
      </w:r>
    </w:p>
    <w:p w:rsidR="006905D1" w:rsidRDefault="005056FB">
      <w:pPr>
        <w:pStyle w:val="Heading2"/>
        <w:spacing w:after="165"/>
      </w:pPr>
      <w:r>
        <w:t>Peak calling</w:t>
      </w:r>
    </w:p>
    <w:p w:rsidR="006905D1" w:rsidRDefault="005056FB">
      <w:pPr>
        <w:spacing w:after="290"/>
        <w:ind w:left="284" w:right="477" w:hanging="299"/>
      </w:pPr>
      <w:r>
        <w:t xml:space="preserve">Peak calling </w:t>
      </w:r>
      <w:r>
        <w:t xml:space="preserve">on </w:t>
      </w:r>
      <w:r>
        <w:rPr>
          <w:i/>
        </w:rPr>
        <w:t xml:space="preserve">in vitro </w:t>
      </w:r>
      <w:r>
        <w:t>binding datasets was carried out using version 2.1.0 of MACS2</w:t>
      </w:r>
      <w:r>
        <w:rPr>
          <w:b/>
          <w:vertAlign w:val="superscript"/>
        </w:rPr>
        <w:t xml:space="preserve">? </w:t>
      </w:r>
      <w:proofErr w:type="gramStart"/>
      <w:r>
        <w:t>with</w:t>
      </w:r>
      <w:proofErr w:type="gramEnd"/>
      <w:r>
        <w:t xml:space="preserve"> default settings. Peaks were then compared against the ENCODE set of “blacklisted” regions</w:t>
      </w:r>
      <w:r>
        <w:rPr>
          <w:b/>
          <w:vertAlign w:val="superscript"/>
        </w:rPr>
        <w:t xml:space="preserve">? </w:t>
      </w:r>
      <w:proofErr w:type="gramStart"/>
      <w:r>
        <w:t>to</w:t>
      </w:r>
      <w:proofErr w:type="gramEnd"/>
      <w:r>
        <w:t xml:space="preserve"> filter out likely artifacts.</w:t>
      </w:r>
    </w:p>
    <w:p w:rsidR="006905D1" w:rsidRDefault="005056FB">
      <w:pPr>
        <w:pStyle w:val="Heading2"/>
      </w:pPr>
      <w:r>
        <w:t>Sequence analysis</w:t>
      </w:r>
    </w:p>
    <w:p w:rsidR="006905D1" w:rsidRDefault="005056FB">
      <w:pPr>
        <w:spacing w:after="27"/>
        <w:ind w:left="-15" w:right="120" w:firstLine="0"/>
      </w:pPr>
      <w:r>
        <w:t>Guide RNA off-target predictions were obtained from Cas-OFFinder</w:t>
      </w:r>
      <w:r>
        <w:rPr>
          <w:b/>
          <w:vertAlign w:val="superscript"/>
        </w:rPr>
        <w:t>?</w:t>
      </w:r>
    </w:p>
    <w:p w:rsidR="006905D1" w:rsidRDefault="005056FB">
      <w:pPr>
        <w:spacing w:after="294"/>
        <w:ind w:left="-15" w:right="120"/>
      </w:pPr>
      <w:r>
        <w:t>Multiple sequence alignments of sgRNA sequences and their off-targets were generated using MUSCLE</w:t>
      </w:r>
      <w:r>
        <w:rPr>
          <w:b/>
          <w:vertAlign w:val="superscript"/>
        </w:rPr>
        <w:t xml:space="preserve">? </w:t>
      </w:r>
      <w:proofErr w:type="gramStart"/>
      <w:r>
        <w:t>and</w:t>
      </w:r>
      <w:proofErr w:type="gramEnd"/>
      <w:r>
        <w:t xml:space="preserve"> visualized using JalView</w:t>
      </w:r>
      <w:r>
        <w:rPr>
          <w:b/>
          <w:vertAlign w:val="superscript"/>
        </w:rPr>
        <w:t xml:space="preserve">? </w:t>
      </w:r>
      <w:r>
        <w:t>.</w:t>
      </w:r>
    </w:p>
    <w:p w:rsidR="006905D1" w:rsidRDefault="005056FB">
      <w:pPr>
        <w:pStyle w:val="Heading2"/>
        <w:spacing w:after="24" w:line="375" w:lineRule="auto"/>
        <w:ind w:left="4024" w:right="4149"/>
      </w:pPr>
      <w:r>
        <w:t>Quantification Cutting score calculation</w:t>
      </w:r>
    </w:p>
    <w:p w:rsidR="006905D1" w:rsidRDefault="005056FB">
      <w:pPr>
        <w:ind w:left="-15" w:right="120" w:firstLine="0"/>
      </w:pPr>
      <w:r>
        <w:t xml:space="preserve">The Cas9 cutting </w:t>
      </w:r>
      <w:r>
        <w:rPr>
          <w:i/>
        </w:rPr>
        <w:t>C</w:t>
      </w:r>
      <w:r>
        <w:t>-score was calculated as follows.</w:t>
      </w:r>
    </w:p>
    <w:p w:rsidR="006905D1" w:rsidRDefault="005056FB">
      <w:pPr>
        <w:spacing w:after="127"/>
        <w:ind w:left="-15" w:right="120"/>
      </w:pPr>
      <w:r>
        <w:t xml:space="preserve">First, basepair-level Read-Per-Million (RPM) profiles for mapped read 5’ ends were generated separately for the forward and reverse strands. Then the </w:t>
      </w:r>
      <w:r>
        <w:rPr>
          <w:i/>
        </w:rPr>
        <w:t>C</w:t>
      </w:r>
      <w:r>
        <w:t>-score was calculated by multiply the forward and reverse strand profil</w:t>
      </w:r>
      <w:r>
        <w:t>es (summed over a running window of 3 bp):</w:t>
      </w:r>
    </w:p>
    <w:p w:rsidR="006905D1" w:rsidRDefault="005056FB">
      <w:pPr>
        <w:tabs>
          <w:tab w:val="center" w:pos="4736"/>
          <w:tab w:val="center" w:pos="6173"/>
        </w:tabs>
        <w:spacing w:after="259" w:line="259" w:lineRule="auto"/>
        <w:ind w:right="0" w:firstLine="0"/>
        <w:jc w:val="left"/>
      </w:pPr>
      <w:r>
        <w:rPr>
          <w:rFonts w:ascii="Calibri" w:eastAsia="Calibri" w:hAnsi="Calibri" w:cs="Calibri"/>
          <w:sz w:val="22"/>
        </w:rPr>
        <w:tab/>
      </w:r>
      <w:r>
        <w:rPr>
          <w:i/>
          <w:sz w:val="14"/>
        </w:rPr>
        <w:t>j</w:t>
      </w:r>
      <w:r>
        <w:rPr>
          <w:sz w:val="14"/>
        </w:rPr>
        <w:t>=</w:t>
      </w:r>
      <w:r>
        <w:rPr>
          <w:i/>
          <w:sz w:val="14"/>
        </w:rPr>
        <w:t>i</w:t>
      </w:r>
      <w:r>
        <w:rPr>
          <w:sz w:val="14"/>
        </w:rPr>
        <w:t>+1</w:t>
      </w:r>
      <w:r>
        <w:rPr>
          <w:sz w:val="14"/>
        </w:rPr>
        <w:tab/>
      </w:r>
      <w:r>
        <w:rPr>
          <w:i/>
          <w:sz w:val="14"/>
        </w:rPr>
        <w:t>j</w:t>
      </w:r>
      <w:r>
        <w:rPr>
          <w:sz w:val="14"/>
        </w:rPr>
        <w:t>=</w:t>
      </w:r>
      <w:r>
        <w:rPr>
          <w:i/>
          <w:sz w:val="14"/>
        </w:rPr>
        <w:t>i</w:t>
      </w:r>
      <w:r>
        <w:rPr>
          <w:sz w:val="14"/>
        </w:rPr>
        <w:t>+1</w:t>
      </w:r>
    </w:p>
    <w:p w:rsidR="006905D1" w:rsidRDefault="005056FB">
      <w:pPr>
        <w:tabs>
          <w:tab w:val="center" w:pos="5261"/>
          <w:tab w:val="right" w:pos="10674"/>
        </w:tabs>
        <w:spacing w:after="101" w:line="259" w:lineRule="auto"/>
        <w:ind w:right="0" w:firstLine="0"/>
        <w:jc w:val="left"/>
      </w:pPr>
      <w:r>
        <w:rPr>
          <w:rFonts w:ascii="Calibri" w:eastAsia="Calibri" w:hAnsi="Calibri" w:cs="Calibri"/>
          <w:sz w:val="22"/>
        </w:rPr>
        <w:tab/>
      </w:r>
      <w:r>
        <w:rPr>
          <w:i/>
        </w:rPr>
        <w:t>C</w:t>
      </w:r>
      <w:r>
        <w:t>-score</w:t>
      </w:r>
      <w:r>
        <w:rPr>
          <w:i/>
          <w:sz w:val="14"/>
        </w:rPr>
        <w:t>c</w:t>
      </w:r>
      <w:proofErr w:type="gramStart"/>
      <w:r>
        <w:rPr>
          <w:i/>
          <w:sz w:val="14"/>
        </w:rPr>
        <w:t>,i</w:t>
      </w:r>
      <w:proofErr w:type="gramEnd"/>
      <w:r>
        <w:rPr>
          <w:i/>
          <w:sz w:val="14"/>
        </w:rPr>
        <w:t xml:space="preserve"> </w:t>
      </w:r>
      <w:r>
        <w:t xml:space="preserve">= </w:t>
      </w:r>
      <w:r>
        <w:t xml:space="preserve">X </w:t>
      </w:r>
      <w:r>
        <w:rPr>
          <w:i/>
        </w:rPr>
        <w:t>RPM</w:t>
      </w:r>
      <w:r>
        <w:rPr>
          <w:i/>
          <w:sz w:val="14"/>
        </w:rPr>
        <w:t>c,j</w:t>
      </w:r>
      <w:r>
        <w:rPr>
          <w:sz w:val="14"/>
        </w:rPr>
        <w:t xml:space="preserve">+ </w:t>
      </w:r>
      <w:r>
        <w:t xml:space="preserve">× X </w:t>
      </w:r>
      <w:r>
        <w:rPr>
          <w:i/>
        </w:rPr>
        <w:t>RPM</w:t>
      </w:r>
      <w:r>
        <w:rPr>
          <w:i/>
          <w:sz w:val="14"/>
        </w:rPr>
        <w:t>c,j</w:t>
      </w:r>
      <w:r>
        <w:rPr>
          <w:sz w:val="14"/>
        </w:rPr>
        <w:t>−</w:t>
      </w:r>
      <w:r>
        <w:rPr>
          <w:sz w:val="14"/>
        </w:rPr>
        <w:tab/>
      </w:r>
      <w:r>
        <w:t>(1)</w:t>
      </w:r>
    </w:p>
    <w:p w:rsidR="006905D1" w:rsidRDefault="005056FB">
      <w:pPr>
        <w:tabs>
          <w:tab w:val="center" w:pos="4736"/>
          <w:tab w:val="center" w:pos="6173"/>
        </w:tabs>
        <w:spacing w:after="178" w:line="259" w:lineRule="auto"/>
        <w:ind w:right="0" w:firstLine="0"/>
        <w:jc w:val="left"/>
      </w:pPr>
      <w:r>
        <w:rPr>
          <w:rFonts w:ascii="Calibri" w:eastAsia="Calibri" w:hAnsi="Calibri" w:cs="Calibri"/>
          <w:sz w:val="22"/>
        </w:rPr>
        <w:tab/>
      </w:r>
      <w:r>
        <w:rPr>
          <w:i/>
          <w:sz w:val="14"/>
        </w:rPr>
        <w:t>j</w:t>
      </w:r>
      <w:r>
        <w:rPr>
          <w:sz w:val="14"/>
        </w:rPr>
        <w:t>=</w:t>
      </w:r>
      <w:r>
        <w:rPr>
          <w:i/>
          <w:sz w:val="14"/>
        </w:rPr>
        <w:t>i</w:t>
      </w:r>
      <w:r>
        <w:rPr>
          <w:sz w:val="14"/>
        </w:rPr>
        <w:t>−</w:t>
      </w:r>
      <w:r>
        <w:rPr>
          <w:sz w:val="14"/>
        </w:rPr>
        <w:t>1</w:t>
      </w:r>
      <w:r>
        <w:rPr>
          <w:sz w:val="14"/>
        </w:rPr>
        <w:tab/>
      </w:r>
      <w:r>
        <w:rPr>
          <w:i/>
          <w:sz w:val="14"/>
        </w:rPr>
        <w:t>j</w:t>
      </w:r>
      <w:r>
        <w:rPr>
          <w:sz w:val="14"/>
        </w:rPr>
        <w:t>=</w:t>
      </w:r>
      <w:r>
        <w:rPr>
          <w:i/>
          <w:sz w:val="14"/>
        </w:rPr>
        <w:t>i</w:t>
      </w:r>
      <w:r>
        <w:rPr>
          <w:sz w:val="14"/>
        </w:rPr>
        <w:t>−</w:t>
      </w:r>
      <w:r>
        <w:rPr>
          <w:sz w:val="14"/>
        </w:rPr>
        <w:t>1</w:t>
      </w:r>
    </w:p>
    <w:p w:rsidR="006905D1" w:rsidRDefault="005056FB">
      <w:pPr>
        <w:spacing w:after="328"/>
        <w:ind w:left="299" w:right="120" w:firstLine="0"/>
      </w:pPr>
      <w:r>
        <w:lastRenderedPageBreak/>
        <w:t xml:space="preserve">Where </w:t>
      </w:r>
      <w:r>
        <w:rPr>
          <w:i/>
        </w:rPr>
        <w:t>c</w:t>
      </w:r>
      <w:proofErr w:type="gramStart"/>
      <w:r>
        <w:rPr>
          <w:i/>
        </w:rPr>
        <w:t>,i</w:t>
      </w:r>
      <w:proofErr w:type="gramEnd"/>
      <w:r>
        <w:rPr>
          <w:i/>
        </w:rPr>
        <w:t xml:space="preserve"> </w:t>
      </w:r>
      <w:r>
        <w:t>indicate the coordinates by chromosome and position.</w:t>
      </w:r>
    </w:p>
    <w:p w:rsidR="006905D1" w:rsidRDefault="005056FB">
      <w:pPr>
        <w:spacing w:after="132" w:line="259" w:lineRule="auto"/>
        <w:ind w:left="10" w:hanging="10"/>
        <w:jc w:val="center"/>
      </w:pPr>
      <w:r>
        <w:rPr>
          <w:b/>
          <w:sz w:val="24"/>
        </w:rPr>
        <w:t>Data availability</w:t>
      </w:r>
    </w:p>
    <w:p w:rsidR="006905D1" w:rsidRDefault="005056FB">
      <w:pPr>
        <w:ind w:left="-15" w:right="120" w:firstLine="0"/>
      </w:pPr>
      <w:r>
        <w:t>Sequencing reads for the datasets described in this study are available from the Gene Expression Omnibus (GEO).</w:t>
      </w:r>
    </w:p>
    <w:p w:rsidR="006905D1" w:rsidRDefault="005056FB">
      <w:pPr>
        <w:pStyle w:val="Heading1"/>
        <w:ind w:right="134"/>
      </w:pPr>
      <w:r>
        <w:t>Author contributions</w:t>
      </w:r>
    </w:p>
    <w:p w:rsidR="006905D1" w:rsidRDefault="005056FB">
      <w:pPr>
        <w:spacing w:after="318"/>
        <w:ind w:left="-15" w:right="120" w:firstLine="0"/>
      </w:pPr>
      <w:r>
        <w:t xml:space="preserve">G.K.M. conceptualized the study, performed initial </w:t>
      </w:r>
      <w:r>
        <w:rPr>
          <w:i/>
        </w:rPr>
        <w:t xml:space="preserve">in vitro </w:t>
      </w:r>
      <w:r>
        <w:t>CasKAS experiments, analyzed data, and wrote the manuscript wit</w:t>
      </w:r>
      <w:r>
        <w:t xml:space="preserve">h input from all authors. S.H.K. developed the </w:t>
      </w:r>
      <w:r>
        <w:rPr>
          <w:i/>
        </w:rPr>
        <w:t xml:space="preserve">in vivo </w:t>
      </w:r>
      <w:r>
        <w:t xml:space="preserve">CasKAS protocol and performed </w:t>
      </w:r>
      <w:r>
        <w:rPr>
          <w:i/>
        </w:rPr>
        <w:t xml:space="preserve">in vivo </w:t>
      </w:r>
      <w:r>
        <w:t xml:space="preserve">CasKAS experiments. S.T.B. carried out </w:t>
      </w:r>
      <w:r>
        <w:rPr>
          <w:i/>
        </w:rPr>
        <w:t xml:space="preserve">in vitro </w:t>
      </w:r>
      <w:r>
        <w:t xml:space="preserve">CasKAS optimization. A.E.T. and J.T. supplied sgRNAs and designed off-target profiling experiments. A.E.T. carried </w:t>
      </w:r>
      <w:r>
        <w:t>out off-target analysis for mouse sgRNAs. T.W. provided key reagents. W.J.G., A.K., C.H. M.C.B. and L.B. supervised the study.</w:t>
      </w:r>
    </w:p>
    <w:p w:rsidR="006905D1" w:rsidRDefault="005056FB">
      <w:pPr>
        <w:pStyle w:val="Heading1"/>
      </w:pPr>
      <w:r>
        <w:t>Acknowledgments</w:t>
      </w:r>
    </w:p>
    <w:p w:rsidR="006905D1" w:rsidRDefault="005056FB">
      <w:pPr>
        <w:ind w:left="-15" w:right="120" w:firstLine="0"/>
      </w:pPr>
      <w:r>
        <w:t>This work was supported by NIH grants (P50HG007735, RO1 HG008140, U19AI057266 and UM1HG009442 to W.J.G., 1UM1HG00</w:t>
      </w:r>
      <w:r>
        <w:t xml:space="preserve">9436 to W.J.G. and A.K., 1DP2OD022870-01 and 1U01HG009431 to A.K., and HG006827 to C.H.), the Rita Allen Foundation (to W.J.G.), the Baxter Foundation Faculty Scholar Grant, and the Human Frontiers Science Program grant RGY006S (to W.J.G). W.J.G is a Chan </w:t>
      </w:r>
      <w:r>
        <w:t>Zuckerberg Biohub investigator and acknowledges grants 2017-174468 and 2018-182817 from the Chan Zuckerberg Initiative. S.K. is supported by MSTP training grant T32GM007365 and the Paul and Daisy Soros Fellowship. J.T. is supported by the NIDDK F99/K00 fel</w:t>
      </w:r>
      <w:r>
        <w:t>lowship of the National Institutes of Health (F99DK126120). M.C.B. is supported by a grant from Stanford ChEM-H and an NIH Directors New Innovator Award (1DP2HD08406901). Fellowship support also provided by the Stanford School of Medicine Dean’s Fellowship</w:t>
      </w:r>
      <w:r>
        <w:t xml:space="preserve"> (G.K.M.), the Siebel Scholars, the Enhancing Diversity in Graduate Education Program and the Weiland Family</w:t>
      </w:r>
      <w:r w:rsidR="00FE6F5F">
        <w:t xml:space="preserve"> Fellowship (A.E.T.). C.H. is as</w:t>
      </w:r>
      <w:r>
        <w:t xml:space="preserve"> Howard Hughes Medical Institute Investigator.</w:t>
      </w:r>
    </w:p>
    <w:p w:rsidR="006905D1" w:rsidRDefault="005056FB">
      <w:pPr>
        <w:spacing w:after="321"/>
        <w:ind w:left="-15" w:right="120"/>
      </w:pPr>
      <w:r>
        <w:t>The authors would like to thank Zohar Shipony and members of the Gree</w:t>
      </w:r>
      <w:r>
        <w:t>nleaf, Kundaje, and Bassik labs for helpful discussion and suggestions regarding this work.</w:t>
      </w:r>
    </w:p>
    <w:p w:rsidR="006905D1" w:rsidRDefault="005056FB">
      <w:pPr>
        <w:pStyle w:val="Heading1"/>
      </w:pPr>
      <w:r>
        <w:t>Competing interests</w:t>
      </w:r>
    </w:p>
    <w:p w:rsidR="006905D1" w:rsidRDefault="005056FB">
      <w:pPr>
        <w:ind w:left="-15" w:right="120" w:firstLine="0"/>
      </w:pPr>
      <w:r>
        <w:t>G.K.M., W.J.G, T.W. and C.H. have submitted a provisional patent application based on this work.</w:t>
      </w:r>
    </w:p>
    <w:sectPr w:rsidR="006905D1">
      <w:footerReference w:type="even" r:id="rId9"/>
      <w:footerReference w:type="default" r:id="rId10"/>
      <w:footerReference w:type="first" r:id="rId11"/>
      <w:pgSz w:w="12240" w:h="15840"/>
      <w:pgMar w:top="1167" w:right="716" w:bottom="1144" w:left="850" w:header="720" w:footer="4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6FB" w:rsidRDefault="005056FB">
      <w:pPr>
        <w:spacing w:after="0" w:line="240" w:lineRule="auto"/>
      </w:pPr>
      <w:r>
        <w:separator/>
      </w:r>
    </w:p>
  </w:endnote>
  <w:endnote w:type="continuationSeparator" w:id="0">
    <w:p w:rsidR="005056FB" w:rsidRDefault="0050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5D1" w:rsidRDefault="005056FB">
    <w:pPr>
      <w:spacing w:after="0" w:line="259" w:lineRule="auto"/>
      <w:ind w:right="135"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5D1" w:rsidRDefault="005056FB">
    <w:pPr>
      <w:spacing w:after="0" w:line="259" w:lineRule="auto"/>
      <w:ind w:right="135" w:firstLine="0"/>
      <w:jc w:val="center"/>
    </w:pPr>
    <w:r>
      <w:fldChar w:fldCharType="begin"/>
    </w:r>
    <w:r>
      <w:instrText xml:space="preserve"> PAGE   \* MERGEFORMAT </w:instrText>
    </w:r>
    <w:r>
      <w:fldChar w:fldCharType="separate"/>
    </w:r>
    <w:r w:rsidR="00FE6F5F">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5D1" w:rsidRDefault="005056FB">
    <w:pPr>
      <w:spacing w:after="0" w:line="259" w:lineRule="auto"/>
      <w:ind w:right="135"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6FB" w:rsidRDefault="005056FB">
      <w:pPr>
        <w:spacing w:after="0" w:line="240" w:lineRule="auto"/>
      </w:pPr>
      <w:r>
        <w:separator/>
      </w:r>
    </w:p>
  </w:footnote>
  <w:footnote w:type="continuationSeparator" w:id="0">
    <w:p w:rsidR="005056FB" w:rsidRDefault="005056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20479"/>
    <w:multiLevelType w:val="hybridMultilevel"/>
    <w:tmpl w:val="8856C6F4"/>
    <w:lvl w:ilvl="0" w:tplc="F156F38C">
      <w:start w:val="1"/>
      <w:numFmt w:val="decimal"/>
      <w:lvlText w:val="%1."/>
      <w:lvlJc w:val="left"/>
      <w:pPr>
        <w:ind w:left="4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F5A0D58">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46262C2">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51EA25E">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DC153A">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AE4976">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4F6277A">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1CAEC2">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0A28C9E">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D1"/>
    <w:rsid w:val="003A6129"/>
    <w:rsid w:val="005056FB"/>
    <w:rsid w:val="006905D1"/>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65F78-6A44-41B0-B140-ECE1AE44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7" w:lineRule="auto"/>
      <w:ind w:right="134" w:firstLine="289"/>
      <w:jc w:val="both"/>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132"/>
      <w:ind w:left="10" w:right="135" w:hanging="10"/>
      <w:jc w:val="center"/>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after="135"/>
      <w:ind w:left="10" w:right="134" w:hanging="10"/>
      <w:jc w:val="center"/>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0"/>
    </w:rPr>
  </w:style>
  <w:style w:type="character" w:customStyle="1" w:styleId="Heading1Char">
    <w:name w:val="Heading 1 Char"/>
    <w:link w:val="Heading1"/>
    <w:rPr>
      <w:rFonts w:ascii="Cambria" w:eastAsia="Cambria" w:hAnsi="Cambria" w:cs="Cambri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ithub.com/georgimarinov/GeorgiScrip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georgimarinov/GeorgiScrip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3570</Words>
  <Characters>20354</Characters>
  <Application>Microsoft Office Word</Application>
  <DocSecurity>0</DocSecurity>
  <Lines>169</Lines>
  <Paragraphs>47</Paragraphs>
  <ScaleCrop>false</ScaleCrop>
  <Company/>
  <LinksUpToDate>false</LinksUpToDate>
  <CharactersWithSpaces>23877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2021-04-13T18:00:00Z</dcterms:created>
  <dcterms:modified xsi:type="dcterms:W3CDTF">2021-04-13T18:01:00Z</dcterms:modified>
</cp:coreProperties>
</file>