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3E4" w:rsidRDefault="00635330" w:rsidP="00A515E2">
      <w:pPr>
        <w:spacing w:after="192" w:line="259" w:lineRule="auto"/>
        <w:ind w:left="0" w:right="836" w:firstLine="0"/>
      </w:pPr>
      <w:r>
        <w:rPr>
          <w:b/>
          <w:sz w:val="34"/>
        </w:rPr>
        <w:t>Transcription-dependent domain-scale 3D genome organization in dinoflagellates</w:t>
      </w:r>
    </w:p>
    <w:p w:rsidR="005963E4" w:rsidRDefault="00635330" w:rsidP="00A515E2">
      <w:pPr>
        <w:spacing w:after="130" w:line="267" w:lineRule="auto"/>
        <w:ind w:left="0" w:right="376" w:firstLine="0"/>
      </w:pPr>
      <w:r>
        <w:rPr>
          <w:rFonts w:ascii="Calibri" w:eastAsia="Calibri" w:hAnsi="Calibri" w:cs="Calibri"/>
        </w:rPr>
        <w:t>Georgi K. Marinov</w:t>
      </w:r>
      <w:r>
        <w:rPr>
          <w:vertAlign w:val="superscript"/>
        </w:rPr>
        <w:t>1,*</w:t>
      </w:r>
      <w:proofErr w:type="gramStart"/>
      <w:r>
        <w:rPr>
          <w:vertAlign w:val="superscript"/>
        </w:rPr>
        <w:t>,#</w:t>
      </w:r>
      <w:proofErr w:type="gramEnd"/>
      <w:r>
        <w:rPr>
          <w:rFonts w:ascii="Calibri" w:eastAsia="Calibri" w:hAnsi="Calibri" w:cs="Calibri"/>
        </w:rPr>
        <w:t>, Alexandro E. Trevino</w:t>
      </w:r>
      <w:r>
        <w:rPr>
          <w:vertAlign w:val="superscript"/>
        </w:rPr>
        <w:t>3,7,*</w:t>
      </w:r>
      <w:r>
        <w:rPr>
          <w:rFonts w:ascii="Calibri" w:eastAsia="Calibri" w:hAnsi="Calibri" w:cs="Calibri"/>
        </w:rPr>
        <w:t>, Tingting Xiang</w:t>
      </w:r>
      <w:r>
        <w:rPr>
          <w:vertAlign w:val="superscript"/>
        </w:rPr>
        <w:t>2,8,*</w:t>
      </w:r>
      <w:r>
        <w:rPr>
          <w:rFonts w:ascii="Calibri" w:eastAsia="Calibri" w:hAnsi="Calibri" w:cs="Calibri"/>
        </w:rPr>
        <w:t>, Anshul Kundaje</w:t>
      </w:r>
      <w:r>
        <w:rPr>
          <w:vertAlign w:val="superscript"/>
        </w:rPr>
        <w:t>1,6</w:t>
      </w:r>
      <w:r>
        <w:rPr>
          <w:rFonts w:ascii="Calibri" w:eastAsia="Calibri" w:hAnsi="Calibri" w:cs="Calibri"/>
        </w:rPr>
        <w:t>, Arthur R. Grossman</w:t>
      </w:r>
      <w:r>
        <w:rPr>
          <w:vertAlign w:val="superscript"/>
        </w:rPr>
        <w:t>2</w:t>
      </w:r>
      <w:r>
        <w:rPr>
          <w:rFonts w:ascii="Calibri" w:eastAsia="Calibri" w:hAnsi="Calibri" w:cs="Calibri"/>
        </w:rPr>
        <w:t>, and William J. Greenleaf</w:t>
      </w:r>
      <w:r>
        <w:rPr>
          <w:vertAlign w:val="superscript"/>
        </w:rPr>
        <w:t>1,3,4,5,#</w:t>
      </w:r>
    </w:p>
    <w:p w:rsidR="005963E4" w:rsidRDefault="00635330" w:rsidP="00A515E2">
      <w:pPr>
        <w:numPr>
          <w:ilvl w:val="0"/>
          <w:numId w:val="1"/>
        </w:numPr>
        <w:spacing w:after="0" w:line="216" w:lineRule="auto"/>
        <w:ind w:right="2607" w:firstLine="0"/>
      </w:pPr>
      <w:r>
        <w:rPr>
          <w:i/>
          <w:sz w:val="18"/>
        </w:rPr>
        <w:t>Department of Genetics, Stanford University, Stanford, California 94305, USA</w:t>
      </w:r>
    </w:p>
    <w:p w:rsidR="005963E4" w:rsidRDefault="00635330" w:rsidP="00A515E2">
      <w:pPr>
        <w:numPr>
          <w:ilvl w:val="0"/>
          <w:numId w:val="1"/>
        </w:numPr>
        <w:spacing w:after="0" w:line="216" w:lineRule="auto"/>
        <w:ind w:right="2607" w:firstLine="0"/>
      </w:pPr>
      <w:r>
        <w:rPr>
          <w:i/>
          <w:sz w:val="18"/>
        </w:rPr>
        <w:t>Carnegie Institution for Science, Department of Plant Biology, Stanford, California 94305, USA</w:t>
      </w:r>
    </w:p>
    <w:p w:rsidR="005963E4" w:rsidRDefault="00635330" w:rsidP="00A515E2">
      <w:pPr>
        <w:numPr>
          <w:ilvl w:val="0"/>
          <w:numId w:val="1"/>
        </w:numPr>
        <w:spacing w:after="0" w:line="216" w:lineRule="auto"/>
        <w:ind w:right="2607" w:firstLine="0"/>
      </w:pPr>
      <w:r>
        <w:rPr>
          <w:i/>
          <w:sz w:val="18"/>
        </w:rPr>
        <w:t>Center for Personal Dynamic Regulomes, Stanford University, Stanford, California 943</w:t>
      </w:r>
      <w:r>
        <w:rPr>
          <w:i/>
          <w:sz w:val="18"/>
        </w:rPr>
        <w:t>05, USA</w:t>
      </w:r>
    </w:p>
    <w:p w:rsidR="005963E4" w:rsidRDefault="00635330" w:rsidP="00A515E2">
      <w:pPr>
        <w:numPr>
          <w:ilvl w:val="0"/>
          <w:numId w:val="1"/>
        </w:numPr>
        <w:spacing w:after="0" w:line="216" w:lineRule="auto"/>
        <w:ind w:right="2607" w:firstLine="0"/>
      </w:pPr>
      <w:r>
        <w:rPr>
          <w:i/>
          <w:sz w:val="18"/>
        </w:rPr>
        <w:t>Department of Applied Physics, Stanford University, Stanford, California 94305, USA</w:t>
      </w:r>
    </w:p>
    <w:p w:rsidR="005963E4" w:rsidRDefault="00635330" w:rsidP="00A515E2">
      <w:pPr>
        <w:spacing w:after="0" w:line="259" w:lineRule="auto"/>
        <w:ind w:left="2898" w:right="0"/>
      </w:pPr>
      <w:r>
        <w:rPr>
          <w:sz w:val="12"/>
        </w:rPr>
        <w:t>5</w:t>
      </w:r>
    </w:p>
    <w:p w:rsidR="005963E4" w:rsidRDefault="00635330" w:rsidP="00A515E2">
      <w:pPr>
        <w:spacing w:after="0" w:line="265" w:lineRule="auto"/>
        <w:ind w:right="767"/>
      </w:pPr>
      <w:r>
        <w:rPr>
          <w:i/>
          <w:sz w:val="18"/>
        </w:rPr>
        <w:t>Chan Zuckerberg Biohub, San Francisco, California, USA</w:t>
      </w:r>
    </w:p>
    <w:p w:rsidR="005963E4" w:rsidRDefault="00635330" w:rsidP="00A515E2">
      <w:pPr>
        <w:numPr>
          <w:ilvl w:val="0"/>
          <w:numId w:val="2"/>
        </w:numPr>
        <w:spacing w:after="0" w:line="216" w:lineRule="auto"/>
        <w:ind w:right="2513" w:firstLine="0"/>
      </w:pPr>
      <w:r>
        <w:rPr>
          <w:i/>
          <w:sz w:val="18"/>
        </w:rPr>
        <w:t>Department of Computer Science, Stanford University, Stanford, California 94305, USA</w:t>
      </w:r>
    </w:p>
    <w:p w:rsidR="005963E4" w:rsidRDefault="00635330" w:rsidP="00A515E2">
      <w:pPr>
        <w:numPr>
          <w:ilvl w:val="0"/>
          <w:numId w:val="2"/>
        </w:numPr>
        <w:spacing w:after="0" w:line="216" w:lineRule="auto"/>
        <w:ind w:right="2513" w:firstLine="0"/>
      </w:pPr>
      <w:r>
        <w:rPr>
          <w:i/>
          <w:sz w:val="18"/>
        </w:rPr>
        <w:t>Department of Bioengin</w:t>
      </w:r>
      <w:r>
        <w:rPr>
          <w:i/>
          <w:sz w:val="18"/>
        </w:rPr>
        <w:t>eering, Stanford University, Stanford, California 94305, USA</w:t>
      </w:r>
    </w:p>
    <w:p w:rsidR="005963E4" w:rsidRDefault="00635330" w:rsidP="00A515E2">
      <w:pPr>
        <w:numPr>
          <w:ilvl w:val="0"/>
          <w:numId w:val="2"/>
        </w:numPr>
        <w:spacing w:after="0" w:line="216" w:lineRule="auto"/>
        <w:ind w:right="2513" w:firstLine="0"/>
      </w:pPr>
      <w:r>
        <w:rPr>
          <w:i/>
          <w:sz w:val="18"/>
        </w:rPr>
        <w:t>Department of Biological Sciences, University of North Carolina at Charlotte, Charlotte, NC 28223, USA</w:t>
      </w:r>
    </w:p>
    <w:p w:rsidR="005963E4" w:rsidRDefault="00635330" w:rsidP="00A515E2">
      <w:pPr>
        <w:spacing w:after="0" w:line="216" w:lineRule="auto"/>
        <w:ind w:left="3466" w:right="4224" w:hanging="93"/>
      </w:pPr>
      <w:r>
        <w:rPr>
          <w:sz w:val="12"/>
        </w:rPr>
        <w:t xml:space="preserve">* </w:t>
      </w:r>
      <w:r>
        <w:rPr>
          <w:i/>
          <w:sz w:val="18"/>
        </w:rPr>
        <w:t>These authors contributed equally to this work</w:t>
      </w:r>
    </w:p>
    <w:p w:rsidR="005963E4" w:rsidRDefault="00635330" w:rsidP="00A515E2">
      <w:pPr>
        <w:spacing w:after="0" w:line="259" w:lineRule="auto"/>
        <w:ind w:left="4346" w:right="0"/>
        <w:rPr>
          <w:i/>
          <w:sz w:val="18"/>
        </w:rPr>
      </w:pPr>
      <w:r>
        <w:rPr>
          <w:sz w:val="12"/>
        </w:rPr>
        <w:t>#</w:t>
      </w:r>
      <w:r w:rsidR="007B3530">
        <w:rPr>
          <w:sz w:val="12"/>
        </w:rPr>
        <w:t xml:space="preserve"> </w:t>
      </w:r>
      <w:proofErr w:type="gramStart"/>
      <w:r>
        <w:rPr>
          <w:i/>
          <w:sz w:val="18"/>
        </w:rPr>
        <w:t>Corresponding</w:t>
      </w:r>
      <w:proofErr w:type="gramEnd"/>
      <w:r>
        <w:rPr>
          <w:i/>
          <w:sz w:val="18"/>
        </w:rPr>
        <w:t xml:space="preserve"> author</w:t>
      </w:r>
    </w:p>
    <w:p w:rsidR="00A515E2" w:rsidRDefault="00A515E2" w:rsidP="00A515E2">
      <w:pPr>
        <w:spacing w:after="0" w:line="259" w:lineRule="auto"/>
        <w:ind w:left="4346" w:right="0"/>
      </w:pPr>
    </w:p>
    <w:p w:rsidR="005963E4" w:rsidRDefault="00635330" w:rsidP="00A515E2">
      <w:pPr>
        <w:pStyle w:val="Heading1"/>
        <w:spacing w:after="250" w:line="259" w:lineRule="auto"/>
        <w:ind w:left="0" w:firstLine="0"/>
        <w:jc w:val="both"/>
      </w:pPr>
      <w:r>
        <w:rPr>
          <w:sz w:val="18"/>
        </w:rPr>
        <w:t>Abstract</w:t>
      </w:r>
    </w:p>
    <w:p w:rsidR="005963E4" w:rsidRDefault="00635330" w:rsidP="00A515E2">
      <w:pPr>
        <w:spacing w:after="388" w:line="236" w:lineRule="auto"/>
        <w:ind w:left="508" w:right="1348"/>
      </w:pPr>
      <w:r>
        <w:rPr>
          <w:b/>
        </w:rPr>
        <w:t>Dinoflagellate chromosomes represent a unique evolutionary experiment, as they exist in a permanently condensed, liquid crystalline state, are not packaged by histones, and contain genes organized into tandem gene arrays, with minimal transcriptional regul</w:t>
      </w:r>
      <w:r>
        <w:rPr>
          <w:b/>
        </w:rPr>
        <w:t xml:space="preserve">ation. We analyze the 3D genome of </w:t>
      </w:r>
      <w:r>
        <w:rPr>
          <w:rFonts w:ascii="Calibri" w:eastAsia="Calibri" w:hAnsi="Calibri" w:cs="Calibri"/>
          <w:i/>
        </w:rPr>
        <w:t>Breviolum minutum</w:t>
      </w:r>
      <w:r>
        <w:rPr>
          <w:b/>
        </w:rPr>
        <w:t>, and find large topological domains without chromatin loops, demarcated by convergent gene array boundaries (“dinoTADs). Transcriptional inhibition degrades dinoTADs, implicating transcription-induced su</w:t>
      </w:r>
      <w:r>
        <w:rPr>
          <w:b/>
        </w:rPr>
        <w:t>percoiling as the primary topological force in dinoflagellates.</w:t>
      </w:r>
    </w:p>
    <w:p w:rsidR="005963E4" w:rsidRDefault="00635330" w:rsidP="00A515E2">
      <w:pPr>
        <w:ind w:left="-15" w:right="835" w:firstLine="299"/>
      </w:pPr>
      <w:r>
        <w:t>The three-dimensional (3D) genome architecture of cells has functional consequences for gene regulation, organismal development, replication, and mutational processes. Topologically associatin</w:t>
      </w:r>
      <w:r>
        <w:t>g domains (TADs) and compartments on the sub-megabase scale are conserved architectural features of eukaryote genomes, defined by increased intradomain contact frequencies and interdomain contact insulation</w:t>
      </w:r>
      <w:r>
        <w:rPr>
          <w:vertAlign w:val="superscript"/>
        </w:rPr>
        <w:t>2</w:t>
      </w:r>
      <w:r>
        <w:t>. Mechanisms known to drive the folding of such d</w:t>
      </w:r>
      <w:r>
        <w:t>omains include constraints on cohesin-mediated loop extrusion – imposed in part by CTCF in vertebrates – and self-associations between similar chromatin states</w:t>
      </w:r>
      <w:r>
        <w:rPr>
          <w:vertAlign w:val="superscript"/>
        </w:rPr>
        <w:t>3</w:t>
      </w:r>
      <w:r>
        <w:t>. Other mechanisms, including insulation of domains by polymerases or specific boundary proteins</w:t>
      </w:r>
      <w:r>
        <w:t>, have also been proposed to play roles in genome architecture</w:t>
      </w:r>
      <w:r>
        <w:rPr>
          <w:vertAlign w:val="superscript"/>
        </w:rPr>
        <w:t>4</w:t>
      </w:r>
      <w:r>
        <w:t>. However, the extent to which genome function may influence genome folding, for example through transcriptional activity, is poorly understood. There has also been little exploration of 3D org</w:t>
      </w:r>
      <w:r>
        <w:t>anization across eukaryotes, even though major deviations from conventional norms are known to exist, presenting natural experiments that may reveal deeper underlying organizational principles masked in other lineages.</w:t>
      </w:r>
    </w:p>
    <w:p w:rsidR="005963E4" w:rsidRDefault="00635330" w:rsidP="00A515E2">
      <w:pPr>
        <w:ind w:left="-15" w:right="835" w:firstLine="299"/>
      </w:pPr>
      <w:r>
        <w:t xml:space="preserve">Dinoflagellates are the most radical </w:t>
      </w:r>
      <w:r>
        <w:t>such departure. They are a diverse, widespread clade playing major roles in aquatic ecosystems, for example, as symbioints of corals, providing the metabolic basis for reef ecosystems. Dinoflagellates possess numerous highly divergent molecular features</w:t>
      </w:r>
      <w:r>
        <w:rPr>
          <w:vertAlign w:val="superscript"/>
        </w:rPr>
        <w:t>5</w:t>
      </w:r>
      <w:r>
        <w:t xml:space="preserve">, </w:t>
      </w:r>
      <w:r>
        <w:t>including, uniquely among eukaryotes, the loss of nucleosomal packaging of chromatin. Histones are extremely conserved across eukaryotes, were present in their current form already in the Last Eukaryotic Common Ancestor</w:t>
      </w:r>
      <w:r>
        <w:rPr>
          <w:vertAlign w:val="superscript"/>
        </w:rPr>
        <w:t>6</w:t>
      </w:r>
      <w:r>
        <w:t>, and they and their posttranslation</w:t>
      </w:r>
      <w:r>
        <w:t>al modifications are pivotal to all biochemical processes involving chromatin.</w:t>
      </w:r>
    </w:p>
    <w:p w:rsidR="005963E4" w:rsidRDefault="00635330" w:rsidP="00A515E2">
      <w:pPr>
        <w:ind w:left="-15" w:right="835" w:firstLine="299"/>
      </w:pPr>
      <w:r>
        <w:t>Dinoflagellates are the sole known exception. Their chromosomes exist in a liquid crystalline state, are permanently condensed throughout the cell cycle, and, although highly di</w:t>
      </w:r>
      <w:r>
        <w:t>vergent histone genes are retained in their genomes</w:t>
      </w:r>
      <w:r>
        <w:rPr>
          <w:vertAlign w:val="superscript"/>
        </w:rPr>
        <w:t>7</w:t>
      </w:r>
      <w:r>
        <w:t>, a combination of virus-derived nucleoproteins and bacterial-derived histone-like proteins have taken over as main packaging components</w:t>
      </w:r>
      <w:r>
        <w:rPr>
          <w:vertAlign w:val="superscript"/>
        </w:rPr>
        <w:t>8</w:t>
      </w:r>
      <w:r>
        <w:t xml:space="preserve">. Dinoflagellate genomes are often huge (up to </w:t>
      </w:r>
      <w:r>
        <w:t>≥</w:t>
      </w:r>
      <w:r>
        <w:t xml:space="preserve">200 Gbp), genes are organized into tandem gene arrays, individual mRNAs are generated through </w:t>
      </w:r>
      <w:r>
        <w:rPr>
          <w:i/>
        </w:rPr>
        <w:t>trans</w:t>
      </w:r>
      <w:r>
        <w:t>-splicing, and transcriptional regulation is largely absent</w:t>
      </w:r>
      <w:r>
        <w:rPr>
          <w:vertAlign w:val="superscript"/>
        </w:rPr>
        <w:t>8</w:t>
      </w:r>
      <w:r>
        <w:t>. These fascinating features simultaneously pose intriguing questions regarding the adaptation of</w:t>
      </w:r>
      <w:r>
        <w:t xml:space="preserve"> transcriptional and regulatory mechanisms</w:t>
      </w:r>
      <w:r w:rsidR="00A515E2">
        <w:t xml:space="preserve"> </w:t>
      </w:r>
      <w:r>
        <w:t>to the absence of nucleosomes, and provide a unique opportunity to explore the biophysical forces underlying genomic organizat</w:t>
      </w:r>
      <w:r>
        <w:t>ion in the context of a large eukaryotic genome nearly devoid of nucleosomes.</w:t>
      </w:r>
      <w:r w:rsidR="00A515E2">
        <w:t xml:space="preserve"> </w:t>
      </w:r>
    </w:p>
    <w:p w:rsidR="005963E4" w:rsidRDefault="00635330" w:rsidP="00A515E2">
      <w:pPr>
        <w:spacing w:after="0" w:line="278" w:lineRule="auto"/>
        <w:ind w:left="0" w:firstLine="0"/>
      </w:pPr>
      <w:r>
        <w:t xml:space="preserve">To explore these questions, we applied chromosome conformation capture using Hi-C on the coral symbiont </w:t>
      </w:r>
      <w:r>
        <w:rPr>
          <w:i/>
        </w:rPr>
        <w:t>Breviolum minutum</w:t>
      </w:r>
      <w:r>
        <w:t>. We generated multiple libraries under standard growth c</w:t>
      </w:r>
      <w:r>
        <w:t xml:space="preserve">onditions and for cells grown at elevated temperature, obtaining </w:t>
      </w:r>
      <w:r>
        <w:t>∼</w:t>
      </w:r>
      <w:r>
        <w:t xml:space="preserve">150–220 million Hi-C contacts for each (Supplementary Table 1). We pooled these libraries to generate a </w:t>
      </w:r>
      <w:r>
        <w:lastRenderedPageBreak/>
        <w:t xml:space="preserve">chromosome-level scaffolding of the previously fragmented </w:t>
      </w:r>
      <w:r>
        <w:rPr>
          <w:i/>
        </w:rPr>
        <w:t xml:space="preserve">B. minutum </w:t>
      </w:r>
      <w:r>
        <w:t>assembly</w:t>
      </w:r>
      <w:r>
        <w:rPr>
          <w:vertAlign w:val="superscript"/>
        </w:rPr>
        <w:t>9</w:t>
      </w:r>
      <w:r>
        <w:t>. We ide</w:t>
      </w:r>
      <w:r>
        <w:t>ntified 91 major pseudochromosomes (</w:t>
      </w:r>
      <w:r>
        <w:t xml:space="preserve">≥ </w:t>
      </w:r>
      <w:r>
        <w:t xml:space="preserve">500 kbp), encompassing </w:t>
      </w:r>
      <w:r>
        <w:t>∼</w:t>
      </w:r>
      <w:r>
        <w:t xml:space="preserve">94% of the total sequence (Fig. 1A-B; Supplementary Fig. 1A), the longest being </w:t>
      </w:r>
      <w:r>
        <w:t>∼</w:t>
      </w:r>
      <w:r>
        <w:t>11 Mbp in size, with a median length of 6.7 Mbp (Supplementary Fig. 1A). At 1-Mbp resolution, they exhibit a bipa</w:t>
      </w:r>
      <w:r>
        <w:t>rtite (occasionally tripartite) structure (Supplementary Fig. 2).</w:t>
      </w:r>
    </w:p>
    <w:p w:rsidR="005963E4" w:rsidRDefault="00635330" w:rsidP="00A515E2">
      <w:pPr>
        <w:ind w:left="-15" w:right="835" w:firstLine="299"/>
      </w:pPr>
      <w:r>
        <w:t>Additional untreated libraries (Supplementary Table 1) were combined to generate an even higher-resolution map (</w:t>
      </w:r>
      <w:r>
        <w:t>∼</w:t>
      </w:r>
      <w:r>
        <w:t>1.05 billion contacts), which was used to examine fine-scale features of topo</w:t>
      </w:r>
      <w:r>
        <w:t xml:space="preserve">logical organization. High-resolution (5kbp) maps revealed well-defined (comparably so to those observed in mammals) topological domains, </w:t>
      </w:r>
      <w:r>
        <w:t>≤</w:t>
      </w:r>
      <w:r>
        <w:t>200 kbp–</w:t>
      </w:r>
      <w:r>
        <w:t>≥</w:t>
      </w:r>
      <w:r>
        <w:t>2 Mbp in size (Fig. 1B-E; Supplementary Fig. 3–12). In mammals, most TAD boundaries are demarcated by CTCF s</w:t>
      </w:r>
      <w:r>
        <w:t xml:space="preserve">ites blocking loop extrusion, reflected in Hi-C maps by chromatin loops and “stripes”. We observe no loop or stripe features in </w:t>
      </w:r>
      <w:r>
        <w:rPr>
          <w:i/>
        </w:rPr>
        <w:t xml:space="preserve">B. minutum </w:t>
      </w:r>
      <w:r>
        <w:t>(Fig. 1C), suggesting a different mechanism for the formation of dinoflagellate TADs, which we term “dinoTADs”. Omitt</w:t>
      </w:r>
      <w:r>
        <w:t>ing the denaturation step in the Hi-C protocol, which should better preserve protein-protein contacts strongly accentuated dinoTADs, but still did not reveal signs of loops or loop extrusion domains; Supplementary Fig. 14). Detected DinoTAD number correlat</w:t>
      </w:r>
      <w:r>
        <w:t>es with chromosome size (Fig. 1D), and observed DinoTADs are considerably larger than mammalian TADs (Fig. 1E).</w:t>
      </w:r>
    </w:p>
    <w:p w:rsidR="005963E4" w:rsidRDefault="00635330" w:rsidP="00A515E2">
      <w:pPr>
        <w:ind w:left="-15" w:right="835" w:firstLine="299"/>
      </w:pPr>
      <w:r>
        <w:t>We next compared Hi-C maps to available annotation features. Remarkably, we found that each dinoTAD corresponds to a pair of divergent gene arra</w:t>
      </w:r>
      <w:r>
        <w:t>ys (Fig. 1F), and dinoTAD boundaries coincide with convergence between gene arrays (Fig. 1G-H).</w:t>
      </w:r>
    </w:p>
    <w:p w:rsidR="005963E4" w:rsidRDefault="00635330" w:rsidP="00A515E2">
      <w:pPr>
        <w:ind w:left="-15" w:right="835" w:firstLine="299"/>
      </w:pPr>
      <w:r>
        <w:t>Numerous models for dinoflagellate chromosome organization have been suggested since the 1960s, primarily based on electron microscopy. These include proposals that chromosomes are organized as “toroidal chromonemas”</w:t>
      </w:r>
      <w:r>
        <w:rPr>
          <w:vertAlign w:val="superscript"/>
        </w:rPr>
        <w:t>11</w:t>
      </w:r>
      <w:r>
        <w:t>, “stacks of discs”</w:t>
      </w:r>
      <w:r>
        <w:rPr>
          <w:vertAlign w:val="superscript"/>
        </w:rPr>
        <w:t>12</w:t>
      </w:r>
      <w:r>
        <w:t>, “cored pineappl</w:t>
      </w:r>
      <w:r>
        <w:t>es”</w:t>
      </w:r>
      <w:r>
        <w:rPr>
          <w:vertAlign w:val="superscript"/>
        </w:rPr>
        <w:t>13</w:t>
      </w:r>
      <w:r>
        <w:t>, or around “central core fibers”</w:t>
      </w:r>
      <w:r>
        <w:rPr>
          <w:vertAlign w:val="superscript"/>
        </w:rPr>
        <w:t>14</w:t>
      </w:r>
      <w:r>
        <w:t>. Most of these models imply specific topological constraints maintaining the proposed shapes and are not directly reconcilable with our Hi-C observations.</w:t>
      </w:r>
    </w:p>
    <w:p w:rsidR="005963E4" w:rsidRDefault="00635330" w:rsidP="00A515E2">
      <w:pPr>
        <w:ind w:left="-15" w:right="835" w:firstLine="299"/>
      </w:pPr>
      <w:r>
        <w:t>Instead, the correspondence between dinoTADs and gene arrays</w:t>
      </w:r>
      <w:r>
        <w:t xml:space="preserve"> suggested a role for transcription in their formation. Although TADs form independently of transcription in metazoan cells, transcription-induced self-interacting domains have been previously demonstrated in bacteria</w:t>
      </w:r>
      <w:r>
        <w:rPr>
          <w:vertAlign w:val="superscript"/>
        </w:rPr>
        <w:t>15</w:t>
      </w:r>
      <w:r>
        <w:t>, and similar mechanisms have been pr</w:t>
      </w:r>
      <w:r>
        <w:t>oposed to explain some topological features in fission yeast</w:t>
      </w:r>
      <w:r>
        <w:rPr>
          <w:vertAlign w:val="superscript"/>
        </w:rPr>
        <w:t>16</w:t>
      </w:r>
      <w:r>
        <w:t>. We also note that a handful of models of dinoflagellate chromosome structure have suggested the presence of coil/plectoneme-like features</w:t>
      </w:r>
      <w:r>
        <w:rPr>
          <w:vertAlign w:val="superscript"/>
        </w:rPr>
        <w:t>17</w:t>
      </w:r>
      <w:proofErr w:type="gramStart"/>
      <w:r>
        <w:rPr>
          <w:vertAlign w:val="superscript"/>
        </w:rPr>
        <w:t>,18</w:t>
      </w:r>
      <w:proofErr w:type="gramEnd"/>
      <w:r>
        <w:t>, but without relating them to gene arrays and tra</w:t>
      </w:r>
      <w:r>
        <w:t>nscription. This model is also supported by the observation that frequently each dinoTAD can be divided into more diffuse “sub-dinoTADs” corresponding to the two individual gene arrays in a pair (Fig. 1C; Supplementary Fig. 3–12), which could be the result</w:t>
      </w:r>
      <w:r>
        <w:t xml:space="preserve"> of torsion generated in each direction of transcription.</w:t>
      </w:r>
    </w:p>
    <w:p w:rsidR="005963E4" w:rsidRDefault="00635330" w:rsidP="00A515E2">
      <w:pPr>
        <w:ind w:left="-15" w:right="835" w:firstLine="299"/>
      </w:pPr>
      <w:r>
        <w:t>The model makes a clear prediction – inhibition of transcription should result in dinoTADs decompaction. To test this relationship, we first compared Hi-C maps for cells grown at 34</w:t>
      </w:r>
      <w:r>
        <w:rPr>
          <w:vertAlign w:val="superscript"/>
        </w:rPr>
        <w:t>◦</w:t>
      </w:r>
      <w:r>
        <w:t>C versus 27</w:t>
      </w:r>
      <w:r>
        <w:rPr>
          <w:vertAlign w:val="superscript"/>
        </w:rPr>
        <w:t>◦</w:t>
      </w:r>
      <w:r>
        <w:t>C, a</w:t>
      </w:r>
      <w:r>
        <w:t>s heat stress could result in general transcription reduction</w:t>
      </w:r>
      <w:r>
        <w:rPr>
          <w:vertAlign w:val="superscript"/>
        </w:rPr>
        <w:t>19</w:t>
      </w:r>
      <w:r>
        <w:t>. We observed mild decompaction of dinoTADs at 34</w:t>
      </w:r>
      <w:r>
        <w:rPr>
          <w:vertAlign w:val="superscript"/>
        </w:rPr>
        <w:t>◦</w:t>
      </w:r>
      <w:r>
        <w:t>C, though domains remained intact (Supplementary Fig. 19–21).</w:t>
      </w:r>
    </w:p>
    <w:p w:rsidR="005963E4" w:rsidRDefault="00635330" w:rsidP="00A515E2">
      <w:pPr>
        <w:ind w:left="-15" w:right="835" w:firstLine="299"/>
      </w:pPr>
      <w:r>
        <w:t xml:space="preserve">We next carried out chemical transcription inhibition experiments. Since transcription inhibition conditions for </w:t>
      </w:r>
      <w:r>
        <w:rPr>
          <w:i/>
        </w:rPr>
        <w:t xml:space="preserve">B. minutum </w:t>
      </w:r>
      <w:r>
        <w:t xml:space="preserve">are not well established, we chose two inhibitors – triptolide and </w:t>
      </w:r>
      <w:r>
        <w:rPr>
          <w:i/>
        </w:rPr>
        <w:t>α</w:t>
      </w:r>
      <w:r>
        <w:t>-amanitin – with distinct mechanisms of action, and assayed mult</w:t>
      </w:r>
      <w:r>
        <w:t>iple time points and doses (Fig. 2A-B). Amanitin directly inhibits RNA Polymerase II and is slow acting, while triptolide quickly blocks initiation by targeting the TFIIH XPB subunit</w:t>
      </w:r>
      <w:r>
        <w:rPr>
          <w:vertAlign w:val="superscript"/>
        </w:rPr>
        <w:t>20</w:t>
      </w:r>
      <w:r>
        <w:t>. While dinoflagellate RNA polymerase II has been reported to be sensiti</w:t>
      </w:r>
      <w:r>
        <w:t xml:space="preserve">ve to </w:t>
      </w:r>
      <w:r>
        <w:rPr>
          <w:i/>
        </w:rPr>
        <w:t>α</w:t>
      </w:r>
      <w:r>
        <w:t>-amanitin, it is possible that the sensitivity is somewhat partial</w:t>
      </w:r>
      <w:r>
        <w:rPr>
          <w:vertAlign w:val="superscript"/>
        </w:rPr>
        <w:t>21</w:t>
      </w:r>
      <w:r>
        <w:t xml:space="preserve">; in addition, the </w:t>
      </w:r>
      <w:r>
        <w:rPr>
          <w:i/>
        </w:rPr>
        <w:t xml:space="preserve">B. minutum </w:t>
      </w:r>
      <w:r>
        <w:t xml:space="preserve">XPB </w:t>
      </w:r>
      <w:proofErr w:type="gramStart"/>
      <w:r>
        <w:t>homolog</w:t>
      </w:r>
      <w:proofErr w:type="gramEnd"/>
      <w:r>
        <w:t xml:space="preserve"> is highly divergent</w:t>
      </w:r>
      <w:r>
        <w:rPr>
          <w:vertAlign w:val="superscript"/>
        </w:rPr>
        <w:t>9</w:t>
      </w:r>
      <w:r>
        <w:t>, thus a moderate inhibition effect is not unexpected. We therefore carried out several experiments to directly estimat</w:t>
      </w:r>
      <w:r>
        <w:t>e the extent of transcription inhibition. Direct metabolic labeling approaches</w:t>
      </w:r>
      <w:r>
        <w:rPr>
          <w:vertAlign w:val="superscript"/>
        </w:rPr>
        <w:t>22</w:t>
      </w:r>
      <w:r>
        <w:t>were unsuccessful as it appears that Symbiodiniaceae cells are impermeable to nucleotide and nucleoside analogs such as 4SU and 4TU. We were, however, able to qualitatively ass</w:t>
      </w:r>
      <w:r>
        <w:t xml:space="preserve">ess inhibition using the proxy of nascent RNA as measured by the proportion of unspliced reads in PolyA+ RNA-seq datasets (Supplementary Fig. 30); we observe more than 50% reduction in unspliced reads in both </w:t>
      </w:r>
      <w:r>
        <w:rPr>
          <w:i/>
        </w:rPr>
        <w:t>α</w:t>
      </w:r>
      <w:r>
        <w:t>-amanitin- and triptolide-cells after 48 hours</w:t>
      </w:r>
      <w:r>
        <w:t xml:space="preserve"> suggesting that transcription has indeed been inhibited. We also did not observe large-scale changes in the levels of individual transcripts (Supplementary Fig. 31). Finally, even at high doses, </w:t>
      </w:r>
      <w:r>
        <w:rPr>
          <w:i/>
        </w:rPr>
        <w:t>α</w:t>
      </w:r>
      <w:r>
        <w:t>-amanitin treatment did not detectably affect photosyntheti</w:t>
      </w:r>
      <w:r>
        <w:t>c efficiency or cell viability relative to controls (Fig. 2C), excluding cell death as a confounding factor.</w:t>
      </w:r>
    </w:p>
    <w:p w:rsidR="005963E4" w:rsidRDefault="00635330" w:rsidP="00A515E2">
      <w:pPr>
        <w:ind w:left="-15" w:right="835" w:firstLine="299"/>
      </w:pPr>
      <w:r>
        <w:t xml:space="preserve">Strikingly, </w:t>
      </w:r>
      <w:r>
        <w:rPr>
          <w:i/>
        </w:rPr>
        <w:t>α</w:t>
      </w:r>
      <w:r>
        <w:t>-amanitin treatment resulted in a dose-dependent, progressive dinoTAD decompaction (Fig. 2D</w:t>
      </w:r>
      <w:proofErr w:type="gramStart"/>
      <w:r>
        <w:t>,F</w:t>
      </w:r>
      <w:proofErr w:type="gramEnd"/>
      <w:r>
        <w:t>; Supplementary Fig. 22–25). These effect</w:t>
      </w:r>
      <w:r>
        <w:t>s were observed in both technical and biological replicates (Supplementary Fig. 22–25). We also observed clear dose-dependent blurring of dinoTAD boundaries after triptolide treatment, though broad dinoTAD-like structures remained visible to a greater exte</w:t>
      </w:r>
      <w:r>
        <w:t xml:space="preserve">nt than in </w:t>
      </w:r>
      <w:r>
        <w:rPr>
          <w:i/>
        </w:rPr>
        <w:t>α</w:t>
      </w:r>
      <w:r>
        <w:t>-amanitin-treated cells (Fig. 2E-F; Supplementary Fig. 26–29).</w:t>
      </w:r>
    </w:p>
    <w:p w:rsidR="005963E4" w:rsidRDefault="00635330" w:rsidP="00A515E2">
      <w:pPr>
        <w:ind w:left="-15" w:right="835" w:firstLine="299"/>
      </w:pPr>
      <w:r>
        <w:lastRenderedPageBreak/>
        <w:t>These experiments support a transcription-induced supercoiling model for dinoTAD formation. Torque generated by active polymerases produces positive/negative supercoiling ahead of/b</w:t>
      </w:r>
      <w:r>
        <w:t>ehind the transcription bubble. This can alter</w:t>
      </w:r>
      <w:r w:rsidR="00A515E2">
        <w:t xml:space="preserve"> </w:t>
      </w:r>
      <w:r>
        <w:t>the twist of the double helix or induce superhelical writhe, which in turn can be accommodated through nucleosome remodeling, local alterations in DNA secondary structure, or formation of writhed structures such as plectonemes</w:t>
      </w:r>
      <w:r>
        <w:rPr>
          <w:vertAlign w:val="superscript"/>
        </w:rPr>
        <w:t>23</w:t>
      </w:r>
      <w:r>
        <w:t>, from which</w:t>
      </w:r>
      <w:r>
        <w:t xml:space="preserve"> we would expect strong Hi-C signals comprising our observed domains.</w:t>
      </w:r>
    </w:p>
    <w:p w:rsidR="005963E4" w:rsidRDefault="00635330" w:rsidP="00A515E2">
      <w:pPr>
        <w:ind w:left="-15" w:right="835" w:firstLine="299"/>
      </w:pPr>
      <w:r>
        <w:t>Although other topological constraints might also be involved, supercoiling-induced plectoneme formation over gene arrays is an intuitive mechanistic explanation for the presence of dino</w:t>
      </w:r>
      <w:r>
        <w:t>TADs. An examination of dinoflagellate gene repertoires also corroborates this model, revealing a striking, dinoflagellate-specific expansion of topoisomerase II- and topoisomerase III-like genes (Fig. 1D; Supplementary Fig. 18; Supplementary Table 2), fur</w:t>
      </w:r>
      <w:r>
        <w:t>ther suggestive of contending with increased levels of writhed forms of helical twist.</w:t>
      </w:r>
    </w:p>
    <w:p w:rsidR="005963E4" w:rsidRDefault="00635330" w:rsidP="00A515E2">
      <w:pPr>
        <w:ind w:left="-15" w:right="835" w:firstLine="299"/>
      </w:pPr>
      <w:r>
        <w:t xml:space="preserve">Comparison with self-interacting domains in bacteria or </w:t>
      </w:r>
      <w:r>
        <w:rPr>
          <w:i/>
        </w:rPr>
        <w:t xml:space="preserve">S. pombe </w:t>
      </w:r>
      <w:r>
        <w:t>shows much stronger topological insulation for dinoTADs (Supplementary Fig. 15) and 16)). Remarkably, no</w:t>
      </w:r>
      <w:r>
        <w:t xml:space="preserve"> TAD domains are observed in kinetoplastids, the other lineage with long gene arrays and no transcriptional regulation (Supplementary Fig. 17).</w:t>
      </w:r>
    </w:p>
    <w:p w:rsidR="005963E4" w:rsidRDefault="00635330" w:rsidP="00A515E2">
      <w:pPr>
        <w:ind w:left="-15" w:right="835" w:firstLine="299"/>
      </w:pPr>
      <w:r>
        <w:t>These differences can be rationalized by the unusual dinoflagellate properties. First, neither bacteria nor yeas</w:t>
      </w:r>
      <w:r>
        <w:t xml:space="preserve">t possess comparably long gene arrays and transcription in those species is highly nonuniform; less transcription-induced torsional stress is therefore expected. Nucleosome loss is the second, and most salient difference. Single mammalian genes as long as </w:t>
      </w:r>
      <w:r>
        <w:t>dinoTADs are quite common, yet contact domains aligning with gene boundaries is not apparent in mammalian Hi-C maps, nor is it seen in kinetoplastids, which have gene arrays but also have conventional chromatin. We therefore hypothesize that plectonemic st</w:t>
      </w:r>
      <w:r>
        <w:t>ructures form due to transcription-induced supercoiling in the nucleosome-depleted genomes of dinoflagellates, while in other eukaryotes, a combination of the wrapping of DNA around nucleosomes, interactions between nucleosomes, and accumulation of DNA twi</w:t>
      </w:r>
      <w:r>
        <w:t>st, prevent their formation (Fig. 2H).</w:t>
      </w:r>
    </w:p>
    <w:p w:rsidR="005963E4" w:rsidRDefault="00635330" w:rsidP="00A515E2">
      <w:pPr>
        <w:ind w:left="-15" w:right="835" w:firstLine="299"/>
      </w:pPr>
      <w:r>
        <w:t>These results generate a number of open questions. How exactly are boundaries between dinoTADs formed mechanistically? Specific boundary elements of markedly different chromatin state could exist; alternatively, these</w:t>
      </w:r>
      <w:r>
        <w:t xml:space="preserve"> boundaries may self-organize purely through torsion-related mechanisms. The roles that dinoflagellates’ divergent histone genes play is also not clear. Finally, the relationship between Hi-C features and the “toroidal chromonemas”</w:t>
      </w:r>
      <w:r>
        <w:rPr>
          <w:vertAlign w:val="superscript"/>
        </w:rPr>
        <w:t xml:space="preserve">11 </w:t>
      </w:r>
      <w:r>
        <w:t>observed by electron m</w:t>
      </w:r>
      <w:r>
        <w:t>icroscopy remains unknown. Answers to these questions, together with the dissection of specific roles different topoisomerase classes, will help fully elucidate the interplay between packaging proteins, transcription-induced torsional stress, and genome fo</w:t>
      </w:r>
      <w:r>
        <w:t>lding in dinoflagellates.</w:t>
      </w:r>
    </w:p>
    <w:p w:rsidR="005963E4" w:rsidRDefault="00635330" w:rsidP="00A515E2">
      <w:pPr>
        <w:spacing w:after="330"/>
        <w:ind w:left="-15" w:right="835" w:firstLine="299"/>
      </w:pPr>
      <w:r>
        <w:t>These observations also identify transcription-induced torsional stress as a key direction of future studies in eukaryotes generally. The strength of dinoTADs underlines the potency of this fundamental biological process for gener</w:t>
      </w:r>
      <w:r>
        <w:t>ating topological structure. The precise manner by which torsion is accommodated as twist and writhe, as well as its consequences for regulatory protein occupancy, transcriptional activity, and other chromatin processes, such as the behavior of ATP-depende</w:t>
      </w:r>
      <w:r>
        <w:t>nt chromatin remodelers, are exciting questions remaining to be unraveled.</w:t>
      </w:r>
    </w:p>
    <w:p w:rsidR="005963E4" w:rsidRDefault="00635330" w:rsidP="00A515E2">
      <w:pPr>
        <w:pStyle w:val="Heading1"/>
        <w:jc w:val="both"/>
      </w:pPr>
      <w:r>
        <w:t>Author contributions</w:t>
      </w:r>
    </w:p>
    <w:p w:rsidR="005963E4" w:rsidRDefault="00635330" w:rsidP="00A515E2">
      <w:pPr>
        <w:spacing w:after="329"/>
        <w:ind w:left="-5" w:right="835"/>
      </w:pPr>
      <w:r>
        <w:t>G.K.M. performed Hi-C experiments. G.K.M and A.E.T. analyzed the data. A.E.T. and T.X. designed and carried out transcription inhibition experiments and cell vi</w:t>
      </w:r>
      <w:r>
        <w:t xml:space="preserve">ability experiments. T.X. carried out </w:t>
      </w:r>
      <w:r>
        <w:rPr>
          <w:i/>
        </w:rPr>
        <w:t xml:space="preserve">S. minutum </w:t>
      </w:r>
      <w:r>
        <w:t xml:space="preserve">culture and heat stress treatment. W.J.G., </w:t>
      </w:r>
      <w:proofErr w:type="gramStart"/>
      <w:r>
        <w:t>A.R.G..</w:t>
      </w:r>
      <w:proofErr w:type="gramEnd"/>
      <w:r>
        <w:t xml:space="preserve"> A.K. and J.R.P. supervised the study. G.K.M., A.E.T. and T.X. interpreted data and wrote manuscript with input from all authors.</w:t>
      </w:r>
    </w:p>
    <w:p w:rsidR="005963E4" w:rsidRDefault="00635330" w:rsidP="00A515E2">
      <w:pPr>
        <w:pStyle w:val="Heading1"/>
        <w:jc w:val="both"/>
      </w:pPr>
      <w:r>
        <w:t>Acknowledgments</w:t>
      </w:r>
    </w:p>
    <w:p w:rsidR="005963E4" w:rsidRDefault="00635330" w:rsidP="00A515E2">
      <w:pPr>
        <w:ind w:left="-5" w:right="835"/>
      </w:pPr>
      <w:r>
        <w:t>This work w</w:t>
      </w:r>
      <w:r>
        <w:t>as supported by NIH grants (P50HG007735, RO1 HG008140, U19AI057266 and UM1HG009442 to W.J.G., 1UM1HG009436 to W.J.G. and A.K., 1DP2OD022870-01 and 1U01HG009431 to A.K.), the Rita Allen Foundation (to W.J.G.), the Baxter Foundation Faculty Scholar Grant, an</w:t>
      </w:r>
      <w:r>
        <w:t>d the Human Frontiers Science Program grant RGY006S (to W.J.G). W.J.G is a Chan Zuckerberg Biohub investigator and acknowledges grants 2017-174468 and 2018-182817 from the Chan Zuckerberg Initiative. Fellowship support provided by the Stanford School of Me</w:t>
      </w:r>
      <w:r>
        <w:t>dicine Dean’s Fellowship (G.K.M.), the Siebel Scholars, the Enhancing Diversity in Graduate Education Program and the Weiland Family Fellowship (A.E.T.). This work is also supported by NSF-IOS EDGE Award 1645164 to A.R.G. and Carnegie Venture grant 10907 (</w:t>
      </w:r>
      <w:r>
        <w:t>to T.X. and G.K.M.).</w:t>
      </w:r>
    </w:p>
    <w:p w:rsidR="005963E4" w:rsidRDefault="00635330" w:rsidP="00A515E2">
      <w:pPr>
        <w:spacing w:after="330"/>
        <w:ind w:left="-15" w:right="835" w:firstLine="299"/>
      </w:pPr>
      <w:r>
        <w:t>The authors would like to thank Andrew J. Spakowitz, Zohar Shipony, Sandy Klemm, Olga Dudchenko, Erez Lieberman Aiden, John R. Pringle, Philip Cleves, and members of the Greenleaf, Kundaje, Pringle and Grossman labs for helpful discuss</w:t>
      </w:r>
      <w:r>
        <w:t>ion and suggestions regarding this work.</w:t>
      </w:r>
    </w:p>
    <w:p w:rsidR="005963E4" w:rsidRDefault="00635330" w:rsidP="00A515E2">
      <w:pPr>
        <w:spacing w:after="126" w:line="265" w:lineRule="auto"/>
      </w:pPr>
      <w:r>
        <w:rPr>
          <w:b/>
          <w:sz w:val="24"/>
        </w:rPr>
        <w:lastRenderedPageBreak/>
        <w:t>Data Availability</w:t>
      </w:r>
    </w:p>
    <w:p w:rsidR="005963E4" w:rsidRDefault="00635330" w:rsidP="00A515E2">
      <w:pPr>
        <w:spacing w:after="328"/>
        <w:ind w:left="-5" w:right="835"/>
      </w:pPr>
      <w:r>
        <w:t>Data, associated with this manuscript has been submitted to GEO under accession number GSE153950</w:t>
      </w:r>
    </w:p>
    <w:p w:rsidR="005963E4" w:rsidRDefault="00635330" w:rsidP="00A515E2">
      <w:pPr>
        <w:spacing w:after="158" w:line="265" w:lineRule="auto"/>
      </w:pPr>
      <w:r>
        <w:rPr>
          <w:b/>
          <w:sz w:val="24"/>
        </w:rPr>
        <w:t>Code Availability</w:t>
      </w:r>
    </w:p>
    <w:p w:rsidR="005963E4" w:rsidRDefault="00635330" w:rsidP="00A515E2">
      <w:pPr>
        <w:ind w:left="-5" w:right="835"/>
      </w:pPr>
      <w:r>
        <w:t xml:space="preserve">Custom code used to process the data is available at </w:t>
      </w:r>
      <w:hyperlink r:id="rId7">
        <w:r>
          <w:rPr>
            <w:rFonts w:ascii="Calibri" w:eastAsia="Calibri" w:hAnsi="Calibri" w:cs="Calibri"/>
          </w:rPr>
          <w:t>https://github.com/georgimarinov/GeorgiScripts</w:t>
        </w:r>
      </w:hyperlink>
    </w:p>
    <w:p w:rsidR="005963E4" w:rsidRDefault="00635330" w:rsidP="00A515E2">
      <w:pPr>
        <w:pStyle w:val="Heading1"/>
        <w:jc w:val="both"/>
      </w:pPr>
      <w:r>
        <w:t>References</w:t>
      </w:r>
    </w:p>
    <w:p w:rsidR="005963E4" w:rsidRDefault="00635330" w:rsidP="00A515E2">
      <w:pPr>
        <w:numPr>
          <w:ilvl w:val="0"/>
          <w:numId w:val="3"/>
        </w:numPr>
        <w:ind w:right="835" w:hanging="354"/>
      </w:pPr>
      <w:r>
        <w:t>Ram´ırez F, Bhardwaj V, Arrigoni L, Lam KC, Gru¨ning BA, Villaveces J, Habermann B, Akhtar A, Manke T. 2018. High-resolution TADs reve</w:t>
      </w:r>
      <w:r>
        <w:t xml:space="preserve">al DNA sequences underlying genome organization in flies. </w:t>
      </w:r>
      <w:r>
        <w:rPr>
          <w:i/>
        </w:rPr>
        <w:t xml:space="preserve">Nat Commun </w:t>
      </w:r>
      <w:r>
        <w:rPr>
          <w:b/>
        </w:rPr>
        <w:t>9</w:t>
      </w:r>
      <w:r>
        <w:t>(1):189.</w:t>
      </w:r>
    </w:p>
    <w:p w:rsidR="005963E4" w:rsidRDefault="00635330" w:rsidP="00A515E2">
      <w:pPr>
        <w:numPr>
          <w:ilvl w:val="0"/>
          <w:numId w:val="3"/>
        </w:numPr>
        <w:ind w:right="835" w:hanging="354"/>
      </w:pPr>
      <w:r>
        <w:t xml:space="preserve">Szabo Q, Bantignies F, Cavalli G. 2019. Principles of genome folding into topologically associating domains. </w:t>
      </w:r>
      <w:r>
        <w:rPr>
          <w:i/>
        </w:rPr>
        <w:t xml:space="preserve">Sci Adv </w:t>
      </w:r>
      <w:r>
        <w:rPr>
          <w:b/>
        </w:rPr>
        <w:t>5</w:t>
      </w:r>
      <w:r>
        <w:t>(4):eaaw1668.</w:t>
      </w:r>
    </w:p>
    <w:p w:rsidR="005963E4" w:rsidRDefault="00635330" w:rsidP="00A515E2">
      <w:pPr>
        <w:numPr>
          <w:ilvl w:val="0"/>
          <w:numId w:val="3"/>
        </w:numPr>
        <w:ind w:right="835" w:hanging="354"/>
      </w:pPr>
      <w:r>
        <w:t xml:space="preserve">Rao SS, Huntley MH, Durand NC, Stamenova EK, </w:t>
      </w:r>
      <w:r>
        <w:t xml:space="preserve">Bochkov ID, Robinson JT, Sanborn AL, Machol I, Omer AD, Lander ES, Aiden EL. 2014. A 3D map of the human genome at kilobase resolution reveals principles of chromatin looping. </w:t>
      </w:r>
      <w:r>
        <w:rPr>
          <w:i/>
        </w:rPr>
        <w:t xml:space="preserve">Cell </w:t>
      </w:r>
      <w:r>
        <w:rPr>
          <w:b/>
        </w:rPr>
        <w:t>159</w:t>
      </w:r>
      <w:r>
        <w:t>(7):1665–1680.</w:t>
      </w:r>
    </w:p>
    <w:p w:rsidR="005963E4" w:rsidRDefault="00635330" w:rsidP="00A515E2">
      <w:pPr>
        <w:numPr>
          <w:ilvl w:val="0"/>
          <w:numId w:val="3"/>
        </w:numPr>
        <w:ind w:right="835" w:hanging="354"/>
      </w:pPr>
      <w:r>
        <w:t>Rowley MJ, Nichols MH, Lyu X, Ando-Kuri M, Rivera ISM, He</w:t>
      </w:r>
      <w:r>
        <w:t>rmetz K, Wang P, Ruan Y, Corces VG. 2017.</w:t>
      </w:r>
    </w:p>
    <w:p w:rsidR="005963E4" w:rsidRDefault="00635330" w:rsidP="00A515E2">
      <w:pPr>
        <w:ind w:left="464" w:right="835"/>
      </w:pPr>
      <w:r>
        <w:t xml:space="preserve">Evolutionarily Conserved Principles Predict 3D Chromatin Organization. </w:t>
      </w:r>
      <w:r>
        <w:rPr>
          <w:i/>
        </w:rPr>
        <w:t xml:space="preserve">Mol Cell </w:t>
      </w:r>
      <w:r>
        <w:rPr>
          <w:b/>
        </w:rPr>
        <w:t>67</w:t>
      </w:r>
      <w:r>
        <w:t>(5):837-852.</w:t>
      </w:r>
    </w:p>
    <w:p w:rsidR="005963E4" w:rsidRDefault="00635330" w:rsidP="00A515E2">
      <w:pPr>
        <w:numPr>
          <w:ilvl w:val="0"/>
          <w:numId w:val="3"/>
        </w:numPr>
        <w:ind w:right="835" w:hanging="354"/>
      </w:pPr>
      <w:r>
        <w:t xml:space="preserve">Hackett JD, Anderson DM, Erdner DL, Bhattacharya D. 2004. Dinoflagellates: a remarkable evolutionary experiment. </w:t>
      </w:r>
      <w:r>
        <w:rPr>
          <w:i/>
        </w:rPr>
        <w:t>Am J B</w:t>
      </w:r>
      <w:r>
        <w:rPr>
          <w:i/>
        </w:rPr>
        <w:t xml:space="preserve">ot </w:t>
      </w:r>
      <w:r>
        <w:rPr>
          <w:b/>
        </w:rPr>
        <w:t>91</w:t>
      </w:r>
      <w:r>
        <w:t>:1523–</w:t>
      </w:r>
      <w:proofErr w:type="gramStart"/>
      <w:r>
        <w:t>1534.</w:t>
      </w:r>
      <w:proofErr w:type="gramEnd"/>
    </w:p>
    <w:p w:rsidR="005963E4" w:rsidRDefault="00635330" w:rsidP="00A515E2">
      <w:pPr>
        <w:numPr>
          <w:ilvl w:val="0"/>
          <w:numId w:val="3"/>
        </w:numPr>
        <w:ind w:right="835" w:hanging="354"/>
      </w:pPr>
      <w:r>
        <w:t xml:space="preserve">Postberg J, Forcob S, Chang WJ, Lipps HJ. 2010. The evolutionary history of histone H3 suggests a deep eukaryotic root of chromatin modifying mechanisms. </w:t>
      </w:r>
      <w:r>
        <w:rPr>
          <w:i/>
        </w:rPr>
        <w:t xml:space="preserve">BMC Evol Biol </w:t>
      </w:r>
      <w:r>
        <w:rPr>
          <w:b/>
        </w:rPr>
        <w:t>10</w:t>
      </w:r>
      <w:r>
        <w:t>:259.</w:t>
      </w:r>
    </w:p>
    <w:p w:rsidR="005963E4" w:rsidRDefault="00635330" w:rsidP="00A515E2">
      <w:pPr>
        <w:numPr>
          <w:ilvl w:val="0"/>
          <w:numId w:val="3"/>
        </w:numPr>
        <w:ind w:right="835" w:hanging="354"/>
      </w:pPr>
      <w:r>
        <w:t>Marinov GK, Lynch M. 2015. Diversity and Divergence of Dinoflag</w:t>
      </w:r>
      <w:r>
        <w:t xml:space="preserve">ellate Histone Proteins. </w:t>
      </w:r>
      <w:r>
        <w:rPr>
          <w:i/>
        </w:rPr>
        <w:t xml:space="preserve">G3 (Bethesda) </w:t>
      </w:r>
      <w:r>
        <w:rPr>
          <w:b/>
        </w:rPr>
        <w:t>6</w:t>
      </w:r>
      <w:r>
        <w:t>(2):397– 422.</w:t>
      </w:r>
    </w:p>
    <w:p w:rsidR="005963E4" w:rsidRDefault="00635330" w:rsidP="00A515E2">
      <w:pPr>
        <w:numPr>
          <w:ilvl w:val="0"/>
          <w:numId w:val="3"/>
        </w:numPr>
        <w:ind w:right="835" w:hanging="354"/>
      </w:pPr>
      <w:r>
        <w:t xml:space="preserve">Janouˇskovec J, Gavelis GS, Burki F, Dinh D, Bachvaroff TR, Gornik SG, Bright KJ, Imanian B, Strom SL, Delwiche CF, Waller RF, Fensome RA, Leander BS, Rohwer FL, Saldarriaga JF. 2017. Major transitions </w:t>
      </w:r>
      <w:r>
        <w:t xml:space="preserve">in dinoflagellate evolution unveiled by phylotranscriptomics. </w:t>
      </w:r>
      <w:r>
        <w:rPr>
          <w:i/>
        </w:rPr>
        <w:t xml:space="preserve">Proc Natl Acad Sci U S </w:t>
      </w:r>
      <w:proofErr w:type="gramStart"/>
      <w:r>
        <w:rPr>
          <w:i/>
        </w:rPr>
        <w:t>A</w:t>
      </w:r>
      <w:proofErr w:type="gramEnd"/>
      <w:r>
        <w:rPr>
          <w:i/>
        </w:rPr>
        <w:t xml:space="preserve"> </w:t>
      </w:r>
      <w:r>
        <w:rPr>
          <w:b/>
        </w:rPr>
        <w:t>114</w:t>
      </w:r>
      <w:r>
        <w:t>(2):E171–E180.</w:t>
      </w:r>
    </w:p>
    <w:p w:rsidR="005963E4" w:rsidRDefault="00635330" w:rsidP="00A515E2">
      <w:pPr>
        <w:numPr>
          <w:ilvl w:val="0"/>
          <w:numId w:val="3"/>
        </w:numPr>
        <w:ind w:right="835" w:hanging="354"/>
      </w:pPr>
      <w:r>
        <w:t>Shoguchi E, Shinzato C, Kawashima T, Gyoja F, Mungpakdee S, Koyanagi R, Takeuchi T, Hisata K, Tanaka M, Fujiwara M, Hamada M, Seidi A, Fujie M, Usami T</w:t>
      </w:r>
      <w:r>
        <w:t xml:space="preserve">, Goto H, Yamasaki S, Arakaki N, Suzuki Y, Sugano S, Toyoda A, Kuroki Y, Fujiyama A, Medina M, Coffroth MA, Bhattacharya D, Satoh N. 2013. Draft assembly of the </w:t>
      </w:r>
      <w:r>
        <w:rPr>
          <w:i/>
        </w:rPr>
        <w:t xml:space="preserve">Symbiodinium minutum </w:t>
      </w:r>
      <w:r>
        <w:t xml:space="preserve">nuclear genome reveals dinoflagellate gene structure. </w:t>
      </w:r>
      <w:r>
        <w:rPr>
          <w:i/>
        </w:rPr>
        <w:t xml:space="preserve">Curr Biol </w:t>
      </w:r>
      <w:r>
        <w:rPr>
          <w:b/>
        </w:rPr>
        <w:t>23</w:t>
      </w:r>
      <w:r>
        <w:t>(15):139</w:t>
      </w:r>
      <w:r>
        <w:t>9–1408.</w:t>
      </w:r>
    </w:p>
    <w:p w:rsidR="005963E4" w:rsidRDefault="00635330" w:rsidP="00A515E2">
      <w:pPr>
        <w:numPr>
          <w:ilvl w:val="0"/>
          <w:numId w:val="3"/>
        </w:numPr>
        <w:ind w:right="835" w:hanging="354"/>
      </w:pPr>
      <w:r>
        <w:t>Keeling PJ, Burki F, Wilcox HM, Allam B, Allen EE, Amaral-Zettler LA, Armbrust EV, Archibald JM, Bharti AK, Bell CJ, Beszteri B, Bidle KD, Cameron CT, Campbell L, Caron DA, Cattolico RA, Collier JL, Coyne K, Davy SK, Deschamps P, Dyhrman ST, Edvard</w:t>
      </w:r>
      <w:r>
        <w:t>sen B, Gates RD, Gobler CJ, Greenwood SJ, Guida SM, Jacobi JL, Jakobsen KS, James ER, Jenkins B, John U, Johnson MD, Juhl AR, Kamp A, Katz LA, Kiene R, Kudryavtsev A, Leander BS, Lin S, Lovejoy C, Lynn D, Marchetti A, McManus G, Nedelcu AM, Menden-Deuer S,</w:t>
      </w:r>
      <w:r>
        <w:t xml:space="preserve"> Miceli C, Mock T, Montresor M, Moran MA, Murray S, Nadathur G, Nagai S, Ngam PB, Palenik B, Pawlowski J, Petroni G, Piganeau G, Posewitz MC, Rengefors K, Romano G, Rumpho ME, Rynearson T, Schilling KB, Schroeder DC, Simpson AG, Slamovits CH, Smith DR, Smi</w:t>
      </w:r>
      <w:r>
        <w:t xml:space="preserve">th GJ, Smith SR, Sosik HM, Stief P, Theriot E, Twary SN, Umale PE, Vaulot D, Wawrik B, Wheeler GL, Wilson WH, Xu Y, Zingone A, Worden AZ. 2014. The Marine Microbial Eukaryote Transcriptome Sequencing Project (MMETSP): illuminating the functional diversity </w:t>
      </w:r>
      <w:r>
        <w:t xml:space="preserve">of eukaryotic life in the oceans through transcriptome sequencing. </w:t>
      </w:r>
      <w:r>
        <w:rPr>
          <w:i/>
        </w:rPr>
        <w:t xml:space="preserve">PLoS Biol </w:t>
      </w:r>
      <w:r>
        <w:rPr>
          <w:b/>
        </w:rPr>
        <w:t>12</w:t>
      </w:r>
      <w:r>
        <w:t>(6):e1001889.</w:t>
      </w:r>
    </w:p>
    <w:p w:rsidR="005963E4" w:rsidRDefault="00635330" w:rsidP="00A515E2">
      <w:pPr>
        <w:numPr>
          <w:ilvl w:val="0"/>
          <w:numId w:val="3"/>
        </w:numPr>
        <w:ind w:right="835" w:hanging="354"/>
      </w:pPr>
      <w:r>
        <w:t xml:space="preserve">Oakley BR. Dodge JD. 1979. Evidence for a double-helically coiled toroidal chromonema in the dinoflagellate chromosome. </w:t>
      </w:r>
      <w:r>
        <w:rPr>
          <w:i/>
        </w:rPr>
        <w:t xml:space="preserve">Chromosoma </w:t>
      </w:r>
      <w:r>
        <w:rPr>
          <w:b/>
        </w:rPr>
        <w:t>70</w:t>
      </w:r>
      <w:r>
        <w:t>:277–291.</w:t>
      </w:r>
    </w:p>
    <w:p w:rsidR="005963E4" w:rsidRDefault="00635330" w:rsidP="00A515E2">
      <w:pPr>
        <w:numPr>
          <w:ilvl w:val="0"/>
          <w:numId w:val="3"/>
        </w:numPr>
        <w:ind w:right="835" w:hanging="354"/>
      </w:pPr>
      <w:r>
        <w:t>Livolant F, Bouligan</w:t>
      </w:r>
      <w:r>
        <w:t xml:space="preserve">d, Y. 1978. New observations on the twisted arrangement of dinoflagellate chromosomes. </w:t>
      </w:r>
      <w:r>
        <w:rPr>
          <w:i/>
        </w:rPr>
        <w:t xml:space="preserve">Chromosoma </w:t>
      </w:r>
      <w:r>
        <w:rPr>
          <w:b/>
        </w:rPr>
        <w:t>68</w:t>
      </w:r>
      <w:r>
        <w:t>:21–44.</w:t>
      </w:r>
    </w:p>
    <w:p w:rsidR="005963E4" w:rsidRDefault="00635330" w:rsidP="00A515E2">
      <w:pPr>
        <w:numPr>
          <w:ilvl w:val="0"/>
          <w:numId w:val="3"/>
        </w:numPr>
        <w:ind w:right="835" w:hanging="354"/>
      </w:pPr>
      <w:r>
        <w:t>Levi-Setti R, Gavrilov KL, Rizzo PJ. 2008. Divalent cation distribution in dinoflagellate chromosomes imaged by high-resolution ion probe mass spect</w:t>
      </w:r>
      <w:r>
        <w:t xml:space="preserve">rometry. </w:t>
      </w:r>
      <w:r>
        <w:rPr>
          <w:i/>
        </w:rPr>
        <w:t xml:space="preserve">Eur J Cell Biol </w:t>
      </w:r>
      <w:r>
        <w:rPr>
          <w:b/>
        </w:rPr>
        <w:t>87</w:t>
      </w:r>
      <w:r>
        <w:t>(12):963–976.</w:t>
      </w:r>
    </w:p>
    <w:p w:rsidR="005963E4" w:rsidRDefault="00635330" w:rsidP="00A515E2">
      <w:pPr>
        <w:numPr>
          <w:ilvl w:val="0"/>
          <w:numId w:val="3"/>
        </w:numPr>
        <w:ind w:right="835" w:hanging="354"/>
      </w:pPr>
      <w:r>
        <w:t xml:space="preserve">Spector DL, Triemer RE. 1981. Chromosome structure and mitosis in the dinoflagellates: an ultrastructural approach to an evolutionary problem. </w:t>
      </w:r>
      <w:r>
        <w:rPr>
          <w:i/>
        </w:rPr>
        <w:t xml:space="preserve">Biosystems </w:t>
      </w:r>
      <w:r>
        <w:rPr>
          <w:b/>
        </w:rPr>
        <w:t>14</w:t>
      </w:r>
      <w:r>
        <w:t>(3–4):289–298.</w:t>
      </w:r>
    </w:p>
    <w:p w:rsidR="005963E4" w:rsidRDefault="00635330" w:rsidP="00A515E2">
      <w:pPr>
        <w:numPr>
          <w:ilvl w:val="0"/>
          <w:numId w:val="3"/>
        </w:numPr>
        <w:ind w:right="835" w:hanging="354"/>
      </w:pPr>
      <w:r>
        <w:t xml:space="preserve">Le TB, Imakaev MV, Mirny LA, Laub MT. 2013. High-resolution mapping of the spatial organization of a bacterial chromosome. </w:t>
      </w:r>
      <w:r>
        <w:rPr>
          <w:i/>
        </w:rPr>
        <w:t xml:space="preserve">Science </w:t>
      </w:r>
      <w:r>
        <w:rPr>
          <w:b/>
        </w:rPr>
        <w:t>342</w:t>
      </w:r>
      <w:r>
        <w:t>(6159):731–734.</w:t>
      </w:r>
    </w:p>
    <w:p w:rsidR="005963E4" w:rsidRDefault="00635330" w:rsidP="00A515E2">
      <w:pPr>
        <w:numPr>
          <w:ilvl w:val="0"/>
          <w:numId w:val="3"/>
        </w:numPr>
        <w:ind w:right="835" w:hanging="354"/>
      </w:pPr>
      <w:r>
        <w:t xml:space="preserve">Benedetti F, Racko D, Dorier J, Burnier Y, Stasiak A. 2017. Transcription-induced supercoiling explains formation of self-interacting chromatin domains in </w:t>
      </w:r>
      <w:r>
        <w:rPr>
          <w:i/>
        </w:rPr>
        <w:t>S. pombe</w:t>
      </w:r>
      <w:r>
        <w:t xml:space="preserve">. </w:t>
      </w:r>
      <w:r>
        <w:rPr>
          <w:i/>
        </w:rPr>
        <w:t xml:space="preserve">Nucleic Acids Res </w:t>
      </w:r>
      <w:r>
        <w:rPr>
          <w:b/>
        </w:rPr>
        <w:t>45</w:t>
      </w:r>
      <w:r>
        <w:t>(17):9850–9859.</w:t>
      </w:r>
    </w:p>
    <w:p w:rsidR="005963E4" w:rsidRDefault="00635330" w:rsidP="00A515E2">
      <w:pPr>
        <w:numPr>
          <w:ilvl w:val="0"/>
          <w:numId w:val="3"/>
        </w:numPr>
        <w:ind w:right="835" w:hanging="354"/>
      </w:pPr>
      <w:r>
        <w:lastRenderedPageBreak/>
        <w:t>Livolant F, Bouligand Y. 1980. Double helical arrangeme</w:t>
      </w:r>
      <w:r>
        <w:t xml:space="preserve">nt of spread dinoflagellate chromosomes. </w:t>
      </w:r>
      <w:r>
        <w:rPr>
          <w:i/>
        </w:rPr>
        <w:t xml:space="preserve">Chromosoma </w:t>
      </w:r>
      <w:r>
        <w:rPr>
          <w:b/>
        </w:rPr>
        <w:t>80</w:t>
      </w:r>
      <w:r>
        <w:t>:97–118.</w:t>
      </w:r>
    </w:p>
    <w:p w:rsidR="005963E4" w:rsidRDefault="00635330" w:rsidP="00A515E2">
      <w:pPr>
        <w:numPr>
          <w:ilvl w:val="0"/>
          <w:numId w:val="3"/>
        </w:numPr>
        <w:ind w:right="835" w:hanging="354"/>
      </w:pPr>
      <w:r>
        <w:t xml:space="preserve">Wong JTY. 2019. Architectural Organization of Dinoflagellate Liquid Crystalline Chromosomes. </w:t>
      </w:r>
      <w:r>
        <w:rPr>
          <w:i/>
        </w:rPr>
        <w:t xml:space="preserve">Microorganisms </w:t>
      </w:r>
      <w:r>
        <w:rPr>
          <w:b/>
        </w:rPr>
        <w:t>7</w:t>
      </w:r>
      <w:r>
        <w:t>(2):27.</w:t>
      </w:r>
    </w:p>
    <w:p w:rsidR="005963E4" w:rsidRDefault="00635330" w:rsidP="00A515E2">
      <w:pPr>
        <w:numPr>
          <w:ilvl w:val="0"/>
          <w:numId w:val="3"/>
        </w:numPr>
        <w:ind w:right="835" w:hanging="354"/>
      </w:pPr>
      <w:r>
        <w:t>Levin RA, Beltran VH, Hill R, Kjelleberg S, McDougald D, Steinberg PD, van O</w:t>
      </w:r>
      <w:r>
        <w:t xml:space="preserve">ppen MJ. 2016. Sex, Scavengers, and Chaperones: Transcriptome Secrets of Divergent Symbiodinium Thermal Tolerances. </w:t>
      </w:r>
      <w:r>
        <w:rPr>
          <w:i/>
        </w:rPr>
        <w:t xml:space="preserve">Mol Biol Evol </w:t>
      </w:r>
      <w:r>
        <w:rPr>
          <w:b/>
        </w:rPr>
        <w:t>33</w:t>
      </w:r>
      <w:r>
        <w:t>(9):2201–2215. 20. Bensaude O. 2011. Inhibiting eukaryotic transcription: Which compound to choose? How to evaluate its acti</w:t>
      </w:r>
      <w:r>
        <w:t xml:space="preserve">vity? </w:t>
      </w:r>
      <w:r>
        <w:rPr>
          <w:i/>
        </w:rPr>
        <w:t xml:space="preserve">Transcription </w:t>
      </w:r>
      <w:r>
        <w:rPr>
          <w:b/>
        </w:rPr>
        <w:t>2</w:t>
      </w:r>
      <w:r>
        <w:t>(3):103–108.</w:t>
      </w:r>
    </w:p>
    <w:p w:rsidR="005963E4" w:rsidRDefault="00635330" w:rsidP="00A515E2">
      <w:pPr>
        <w:numPr>
          <w:ilvl w:val="0"/>
          <w:numId w:val="4"/>
        </w:numPr>
        <w:ind w:right="835" w:hanging="354"/>
      </w:pPr>
      <w:r>
        <w:t xml:space="preserve">Rizzo PJ. 1979. RNA synthesis in isolated nuclei of the dinoflagellate </w:t>
      </w:r>
      <w:r>
        <w:rPr>
          <w:i/>
        </w:rPr>
        <w:t>Crypthecodinium cohnii</w:t>
      </w:r>
      <w:r>
        <w:t xml:space="preserve">. </w:t>
      </w:r>
      <w:r>
        <w:rPr>
          <w:i/>
        </w:rPr>
        <w:t xml:space="preserve">J Protozool </w:t>
      </w:r>
      <w:r>
        <w:rPr>
          <w:b/>
        </w:rPr>
        <w:t>26</w:t>
      </w:r>
      <w:r>
        <w:t>(2):290– 294.</w:t>
      </w:r>
    </w:p>
    <w:p w:rsidR="005963E4" w:rsidRDefault="00635330" w:rsidP="00A515E2">
      <w:pPr>
        <w:numPr>
          <w:ilvl w:val="0"/>
          <w:numId w:val="4"/>
        </w:numPr>
        <w:ind w:right="835" w:hanging="354"/>
      </w:pPr>
      <w:r>
        <w:t>Herzog VA, Reichholf B, Neumann T, Rescheneder P, Bhat P, Burkard TR, Wlotzka W, von Haeseler A, Zu</w:t>
      </w:r>
      <w:r>
        <w:t xml:space="preserve">ber J, Ameres SL. 2017. Thiol-linked alkylation of RNA to assess expression dynamics. </w:t>
      </w:r>
      <w:r>
        <w:rPr>
          <w:i/>
        </w:rPr>
        <w:t xml:space="preserve">Nat Methods </w:t>
      </w:r>
      <w:r>
        <w:rPr>
          <w:b/>
        </w:rPr>
        <w:t>14</w:t>
      </w:r>
      <w:r>
        <w:t>(12):1198–1204.</w:t>
      </w:r>
    </w:p>
    <w:p w:rsidR="005963E4" w:rsidRDefault="00635330" w:rsidP="00A515E2">
      <w:pPr>
        <w:numPr>
          <w:ilvl w:val="0"/>
          <w:numId w:val="4"/>
        </w:numPr>
        <w:ind w:right="835" w:hanging="354"/>
      </w:pPr>
      <w:r>
        <w:t xml:space="preserve">Teves SS, Henikoff S. 2014. DNA torsion as a feedback mediator of transcription and chromatin dynamics. </w:t>
      </w:r>
      <w:r>
        <w:rPr>
          <w:i/>
        </w:rPr>
        <w:t xml:space="preserve">Nucleus </w:t>
      </w:r>
      <w:r>
        <w:rPr>
          <w:b/>
        </w:rPr>
        <w:t>5</w:t>
      </w:r>
      <w:r>
        <w:t>(3):211–218.</w:t>
      </w:r>
    </w:p>
    <w:p w:rsidR="005963E4" w:rsidRDefault="00635330" w:rsidP="00A515E2">
      <w:pPr>
        <w:numPr>
          <w:ilvl w:val="0"/>
          <w:numId w:val="4"/>
        </w:numPr>
        <w:ind w:right="835" w:hanging="354"/>
      </w:pPr>
      <w:r>
        <w:t>Xiang T, Hambl</w:t>
      </w:r>
      <w:r>
        <w:t xml:space="preserve">eton EA, DeNofrio JC, Pringle JR, Grossman AR. 2013. Isolation of clonal axenic strains of the symbiotic dinoflagellate </w:t>
      </w:r>
      <w:r>
        <w:rPr>
          <w:i/>
        </w:rPr>
        <w:t xml:space="preserve">Symbiodinium </w:t>
      </w:r>
      <w:r>
        <w:t xml:space="preserve">and their growth and host specificity. </w:t>
      </w:r>
      <w:r>
        <w:rPr>
          <w:i/>
        </w:rPr>
        <w:t xml:space="preserve">J Phycol </w:t>
      </w:r>
      <w:r>
        <w:rPr>
          <w:b/>
        </w:rPr>
        <w:t>49</w:t>
      </w:r>
      <w:r>
        <w:t>(3):447–458.</w:t>
      </w:r>
    </w:p>
    <w:p w:rsidR="005963E4" w:rsidRDefault="00635330" w:rsidP="00A515E2">
      <w:pPr>
        <w:numPr>
          <w:ilvl w:val="0"/>
          <w:numId w:val="4"/>
        </w:numPr>
        <w:ind w:right="835" w:hanging="354"/>
      </w:pPr>
      <w:r>
        <w:t>Xiang T, Nelson W, Rodriguez J, Tolleter D, Grossman AR. 201</w:t>
      </w:r>
      <w:r>
        <w:t xml:space="preserve">5. </w:t>
      </w:r>
      <w:r>
        <w:rPr>
          <w:i/>
        </w:rPr>
        <w:t xml:space="preserve">Symbiodinium </w:t>
      </w:r>
      <w:r>
        <w:t xml:space="preserve">transcriptome and global responses of cells to immediate changes in light intensity when grown under autotrophic or mixotrophic conditions. </w:t>
      </w:r>
      <w:r>
        <w:rPr>
          <w:i/>
        </w:rPr>
        <w:t xml:space="preserve">Plant J </w:t>
      </w:r>
      <w:r>
        <w:rPr>
          <w:b/>
        </w:rPr>
        <w:t>82</w:t>
      </w:r>
      <w:r>
        <w:t>(1):67–80.</w:t>
      </w:r>
    </w:p>
    <w:p w:rsidR="005963E4" w:rsidRDefault="00635330" w:rsidP="00A515E2">
      <w:pPr>
        <w:numPr>
          <w:ilvl w:val="0"/>
          <w:numId w:val="4"/>
        </w:numPr>
        <w:ind w:right="835" w:hanging="354"/>
      </w:pPr>
      <w:r>
        <w:t xml:space="preserve">Durand NC, Shamim MS, Machol I, Rao SS, Huntley MH, Lander ES, Aiden EL. 2016. </w:t>
      </w:r>
      <w:r>
        <w:t xml:space="preserve">Juicer Provides a One-Click System for Analyzing Loop-Resolution Hi-C Experiments. </w:t>
      </w:r>
      <w:r>
        <w:rPr>
          <w:i/>
        </w:rPr>
        <w:t xml:space="preserve">Cell Syst </w:t>
      </w:r>
      <w:r>
        <w:rPr>
          <w:b/>
        </w:rPr>
        <w:t>3</w:t>
      </w:r>
      <w:r>
        <w:t>(1):95–98.</w:t>
      </w:r>
    </w:p>
    <w:p w:rsidR="005963E4" w:rsidRDefault="00635330" w:rsidP="00A515E2">
      <w:pPr>
        <w:numPr>
          <w:ilvl w:val="0"/>
          <w:numId w:val="4"/>
        </w:numPr>
        <w:ind w:right="835" w:hanging="354"/>
      </w:pPr>
      <w:r>
        <w:t>Dudchenko O, Batra SS, Omer AD, Nyquist SK, Hoeger M, Durand NC, Shamim MS, Machol I, Lander ES, Aiden AP, Aiden EL. 2017. De novo assembly of the Aede</w:t>
      </w:r>
      <w:r>
        <w:t xml:space="preserve">s aegypti genome using Hi-C yields chromosome-length scaffolds. </w:t>
      </w:r>
      <w:r>
        <w:rPr>
          <w:i/>
        </w:rPr>
        <w:t xml:space="preserve">Science </w:t>
      </w:r>
      <w:r>
        <w:rPr>
          <w:b/>
        </w:rPr>
        <w:t>356</w:t>
      </w:r>
      <w:r>
        <w:t>(6333):92–95.</w:t>
      </w:r>
    </w:p>
    <w:p w:rsidR="005963E4" w:rsidRDefault="00635330" w:rsidP="00A515E2">
      <w:pPr>
        <w:numPr>
          <w:ilvl w:val="0"/>
          <w:numId w:val="4"/>
        </w:numPr>
        <w:ind w:right="835" w:hanging="354"/>
      </w:pPr>
      <w:r>
        <w:t xml:space="preserve">Dobin A, Davis CA, Schlesinger F, Drenkow J, Zaleski C, Jha S, Batut P, Chaisson M, Gingeras TR. 2013. STAR: ultrafast universal RNA-seq aligner. </w:t>
      </w:r>
      <w:r>
        <w:rPr>
          <w:i/>
        </w:rPr>
        <w:t xml:space="preserve">Bioinformatics </w:t>
      </w:r>
      <w:r>
        <w:rPr>
          <w:b/>
        </w:rPr>
        <w:t>29</w:t>
      </w:r>
      <w:r>
        <w:t>(1):</w:t>
      </w:r>
      <w:r>
        <w:t>15–21.</w:t>
      </w:r>
    </w:p>
    <w:p w:rsidR="005963E4" w:rsidRDefault="00635330" w:rsidP="00A515E2">
      <w:pPr>
        <w:numPr>
          <w:ilvl w:val="0"/>
          <w:numId w:val="4"/>
        </w:numPr>
        <w:ind w:right="835" w:hanging="354"/>
      </w:pPr>
      <w:r>
        <w:t xml:space="preserve">Langmead B, Trapnell C, Pop M, Salzberg SL. 2009. Ultrafast and memory-efficient alignment of short DNA sequences to the human genome. </w:t>
      </w:r>
      <w:r>
        <w:rPr>
          <w:i/>
        </w:rPr>
        <w:t xml:space="preserve">Genome Biol </w:t>
      </w:r>
      <w:r>
        <w:rPr>
          <w:b/>
        </w:rPr>
        <w:t>10</w:t>
      </w:r>
      <w:r>
        <w:t>(3):R25.</w:t>
      </w:r>
    </w:p>
    <w:p w:rsidR="005963E4" w:rsidRDefault="00635330" w:rsidP="00A515E2">
      <w:pPr>
        <w:numPr>
          <w:ilvl w:val="0"/>
          <w:numId w:val="4"/>
        </w:numPr>
        <w:ind w:right="835" w:hanging="354"/>
      </w:pPr>
      <w:r>
        <w:t>Roberts A, Pachter L. 2013. Streaming fragment assignment for real-time analysis of sequenc</w:t>
      </w:r>
      <w:r>
        <w:t xml:space="preserve">ing experiments. </w:t>
      </w:r>
      <w:r>
        <w:rPr>
          <w:i/>
        </w:rPr>
        <w:t xml:space="preserve">Nat Methods </w:t>
      </w:r>
      <w:r>
        <w:rPr>
          <w:b/>
        </w:rPr>
        <w:t>10</w:t>
      </w:r>
      <w:r>
        <w:t>(1):71-73.</w:t>
      </w:r>
    </w:p>
    <w:p w:rsidR="005963E4" w:rsidRDefault="00635330" w:rsidP="00A515E2">
      <w:pPr>
        <w:numPr>
          <w:ilvl w:val="0"/>
          <w:numId w:val="4"/>
        </w:numPr>
        <w:ind w:right="835" w:hanging="354"/>
      </w:pPr>
      <w:r>
        <w:t xml:space="preserve">Love MI, Huber W, Anders S. 2014. Moderated estimation of fold change and dispersion for RNA-seq data with DESeq2. </w:t>
      </w:r>
      <w:r>
        <w:rPr>
          <w:i/>
        </w:rPr>
        <w:t xml:space="preserve">Genome Biol </w:t>
      </w:r>
      <w:r>
        <w:rPr>
          <w:b/>
        </w:rPr>
        <w:t>15</w:t>
      </w:r>
      <w:r>
        <w:t>(12):550.</w:t>
      </w:r>
    </w:p>
    <w:p w:rsidR="005963E4" w:rsidRDefault="00635330" w:rsidP="00A515E2">
      <w:pPr>
        <w:numPr>
          <w:ilvl w:val="0"/>
          <w:numId w:val="4"/>
        </w:numPr>
        <w:ind w:right="835" w:hanging="354"/>
      </w:pPr>
      <w:r>
        <w:t xml:space="preserve">Pertea M, Pertea GM, Antonescu CM, Chang TC, Mendell JT, Salzberg SL. 2015. StringTie enables improved reconstruction of a transcriptome from RNA-seq reads. </w:t>
      </w:r>
      <w:r>
        <w:rPr>
          <w:i/>
        </w:rPr>
        <w:t xml:space="preserve">Nat Biotechnol </w:t>
      </w:r>
      <w:r>
        <w:rPr>
          <w:b/>
        </w:rPr>
        <w:t>33</w:t>
      </w:r>
      <w:r>
        <w:t>(3):290-295.</w:t>
      </w:r>
    </w:p>
    <w:p w:rsidR="005963E4" w:rsidRDefault="00635330" w:rsidP="00A515E2">
      <w:pPr>
        <w:numPr>
          <w:ilvl w:val="0"/>
          <w:numId w:val="4"/>
        </w:numPr>
        <w:ind w:right="835" w:hanging="354"/>
      </w:pPr>
      <w:r>
        <w:t xml:space="preserve">Eddy SR. 2011. Accelerated Profile HMM Searches. </w:t>
      </w:r>
      <w:r>
        <w:rPr>
          <w:i/>
        </w:rPr>
        <w:t xml:space="preserve">PLoS Comput Biol </w:t>
      </w:r>
      <w:r>
        <w:rPr>
          <w:b/>
        </w:rPr>
        <w:t>7</w:t>
      </w:r>
      <w:r>
        <w:t>(1</w:t>
      </w:r>
      <w:r>
        <w:t>0):e1002195.</w:t>
      </w:r>
    </w:p>
    <w:p w:rsidR="005963E4" w:rsidRDefault="00635330" w:rsidP="00A515E2">
      <w:pPr>
        <w:numPr>
          <w:ilvl w:val="0"/>
          <w:numId w:val="4"/>
        </w:numPr>
        <w:ind w:right="835" w:hanging="354"/>
      </w:pPr>
      <w:r>
        <w:t xml:space="preserve">Finn RD, Bateman A, Clements J, Coggill P, Eberhardt RY, Eddy SR, Heger A, Hetherington K, Holm L, Mistry J, Sonnhammer EL, Tate J, Punta M. 2014. Pfam: the protein </w:t>
      </w:r>
      <w:proofErr w:type="gramStart"/>
      <w:r>
        <w:t>families</w:t>
      </w:r>
      <w:proofErr w:type="gramEnd"/>
      <w:r>
        <w:t xml:space="preserve"> database. </w:t>
      </w:r>
      <w:r>
        <w:rPr>
          <w:i/>
        </w:rPr>
        <w:t xml:space="preserve">Nucleic Acids Res </w:t>
      </w:r>
      <w:r>
        <w:rPr>
          <w:b/>
        </w:rPr>
        <w:t>42</w:t>
      </w:r>
      <w:r>
        <w:t>(Database issue):D222–230.</w:t>
      </w:r>
    </w:p>
    <w:p w:rsidR="005963E4" w:rsidRDefault="00635330" w:rsidP="00A515E2">
      <w:pPr>
        <w:numPr>
          <w:ilvl w:val="0"/>
          <w:numId w:val="4"/>
        </w:numPr>
        <w:ind w:right="835" w:hanging="354"/>
      </w:pPr>
      <w:r>
        <w:t>Knight P, Ru</w:t>
      </w:r>
      <w:r>
        <w:t xml:space="preserve">iz D. 2013. A fast algorithm for matrix balancing. </w:t>
      </w:r>
      <w:r>
        <w:rPr>
          <w:i/>
        </w:rPr>
        <w:t xml:space="preserve">IMA J Num Anal </w:t>
      </w:r>
      <w:r>
        <w:rPr>
          <w:b/>
        </w:rPr>
        <w:t>33</w:t>
      </w:r>
      <w:r>
        <w:t>(3):1029–1047.</w:t>
      </w:r>
    </w:p>
    <w:p w:rsidR="005963E4" w:rsidRDefault="00635330" w:rsidP="00A515E2">
      <w:pPr>
        <w:numPr>
          <w:ilvl w:val="0"/>
          <w:numId w:val="4"/>
        </w:numPr>
        <w:ind w:right="835" w:hanging="354"/>
      </w:pPr>
      <w:r>
        <w:t>Hou Y, Ji N, Zhang H, Shi X, Han H, Lin S. 2019. Genome size-dependent pcna gene copy number in dinoflagellates and molecular evidence of retroposition as a major evolutiona</w:t>
      </w:r>
      <w:r>
        <w:t xml:space="preserve">ry mechanism. </w:t>
      </w:r>
      <w:r>
        <w:rPr>
          <w:i/>
        </w:rPr>
        <w:t xml:space="preserve">J Phycol </w:t>
      </w:r>
      <w:r>
        <w:rPr>
          <w:b/>
        </w:rPr>
        <w:t>55</w:t>
      </w:r>
      <w:r>
        <w:t>(1):37–46.</w:t>
      </w:r>
    </w:p>
    <w:p w:rsidR="00A515E2" w:rsidRDefault="00A515E2" w:rsidP="00A515E2">
      <w:pPr>
        <w:pStyle w:val="Heading1"/>
        <w:jc w:val="both"/>
      </w:pPr>
    </w:p>
    <w:p w:rsidR="005963E4" w:rsidRDefault="00635330" w:rsidP="00A515E2">
      <w:pPr>
        <w:pStyle w:val="Heading1"/>
        <w:jc w:val="both"/>
      </w:pPr>
      <w:r>
        <w:t>Methods</w:t>
      </w:r>
    </w:p>
    <w:p w:rsidR="005963E4" w:rsidRDefault="00635330" w:rsidP="00A515E2">
      <w:pPr>
        <w:spacing w:after="291"/>
        <w:ind w:left="-5" w:right="835"/>
      </w:pPr>
      <w:r>
        <w:t>Except where otherwise stated, computational analyses were carried out using custom-written Python scripts.</w:t>
      </w:r>
    </w:p>
    <w:p w:rsidR="005963E4" w:rsidRDefault="00635330" w:rsidP="00A515E2">
      <w:pPr>
        <w:pStyle w:val="Heading2"/>
        <w:ind w:left="10" w:right="850"/>
        <w:jc w:val="both"/>
      </w:pPr>
      <w:r>
        <w:rPr>
          <w:rFonts w:ascii="Calibri" w:eastAsia="Calibri" w:hAnsi="Calibri" w:cs="Calibri"/>
          <w:b w:val="0"/>
          <w:i/>
        </w:rPr>
        <w:t xml:space="preserve">B. minutum </w:t>
      </w:r>
      <w:r>
        <w:t>cell culture</w:t>
      </w:r>
    </w:p>
    <w:p w:rsidR="005963E4" w:rsidRDefault="00635330" w:rsidP="00A515E2">
      <w:pPr>
        <w:spacing w:after="263"/>
        <w:ind w:left="-5" w:right="835"/>
      </w:pPr>
      <w:r>
        <w:t xml:space="preserve">The clonal axenic </w:t>
      </w:r>
      <w:r>
        <w:rPr>
          <w:i/>
        </w:rPr>
        <w:t xml:space="preserve">Breviolum minutum </w:t>
      </w:r>
      <w:r>
        <w:t>strain SSB01 was used in all experiments. Stock cultures were grown as previously described</w:t>
      </w:r>
      <w:r>
        <w:rPr>
          <w:vertAlign w:val="superscript"/>
        </w:rPr>
        <w:t xml:space="preserve">24,25 </w:t>
      </w:r>
      <w:r>
        <w:t>in Daigo’s IMK medium for marine microalgae (Wako Pure Chemicals) supplemented with casein hydrolysate (IMK+Cas) at 27</w:t>
      </w:r>
      <w:r>
        <w:rPr>
          <w:vertAlign w:val="superscript"/>
        </w:rPr>
        <w:t>◦</w:t>
      </w:r>
      <w:r>
        <w:t xml:space="preserve">C at a light intensity of 10 </w:t>
      </w:r>
      <w:r>
        <w:rPr>
          <w:i/>
        </w:rPr>
        <w:t>µ</w:t>
      </w:r>
      <w:r>
        <w:t>mol photon</w:t>
      </w:r>
      <w:r>
        <w:t>s m</w:t>
      </w:r>
      <w:r>
        <w:rPr>
          <w:vertAlign w:val="superscript"/>
        </w:rPr>
        <w:t xml:space="preserve">2 </w:t>
      </w:r>
      <w:r>
        <w:t>s</w:t>
      </w:r>
      <w:r>
        <w:rPr>
          <w:vertAlign w:val="superscript"/>
        </w:rPr>
        <w:t xml:space="preserve">1 </w:t>
      </w:r>
      <w:r>
        <w:t>from Philips ALTO II 25-W bulbs on a 12-h-light:12-h-dark cycle. The medium was prepared in artificial seawater (ASW).</w:t>
      </w:r>
    </w:p>
    <w:p w:rsidR="005963E4" w:rsidRDefault="00635330" w:rsidP="00A515E2">
      <w:pPr>
        <w:pStyle w:val="Heading2"/>
        <w:ind w:left="10" w:right="850"/>
        <w:jc w:val="both"/>
      </w:pPr>
      <w:r>
        <w:lastRenderedPageBreak/>
        <w:t>Transcription inhibition experiments</w:t>
      </w:r>
    </w:p>
    <w:p w:rsidR="005963E4" w:rsidRDefault="00635330" w:rsidP="00A515E2">
      <w:pPr>
        <w:ind w:left="-5" w:right="835"/>
      </w:pPr>
      <w:r>
        <w:t xml:space="preserve">For </w:t>
      </w:r>
      <w:r>
        <w:rPr>
          <w:i/>
        </w:rPr>
        <w:t>α</w:t>
      </w:r>
      <w:r>
        <w:t xml:space="preserve">-amanitin treatment, </w:t>
      </w:r>
      <w:r>
        <w:rPr>
          <w:i/>
        </w:rPr>
        <w:t xml:space="preserve">Breviolum minutum </w:t>
      </w:r>
      <w:r>
        <w:t xml:space="preserve">cells at a density of </w:t>
      </w:r>
      <w:r>
        <w:t>∼</w:t>
      </w:r>
      <w:r>
        <w:t xml:space="preserve">1 </w:t>
      </w:r>
      <w:r>
        <w:t>×</w:t>
      </w:r>
      <w:r>
        <w:t>10</w:t>
      </w:r>
      <w:r>
        <w:rPr>
          <w:vertAlign w:val="superscript"/>
        </w:rPr>
        <w:t xml:space="preserve">6 </w:t>
      </w:r>
      <w:r>
        <w:t>cells/mL were trea</w:t>
      </w:r>
      <w:r>
        <w:t xml:space="preserve">ted with </w:t>
      </w:r>
      <w:r>
        <w:rPr>
          <w:i/>
        </w:rPr>
        <w:t>α</w:t>
      </w:r>
      <w:r>
        <w:t xml:space="preserve">-amanitin (Sigma-Aldrich, Cat # A2263) at concentrations of 1 </w:t>
      </w:r>
      <w:r>
        <w:rPr>
          <w:i/>
        </w:rPr>
        <w:t>µ</w:t>
      </w:r>
      <w:r>
        <w:t xml:space="preserve">g/mL (“normal” dose) and 4 </w:t>
      </w:r>
      <w:r>
        <w:rPr>
          <w:i/>
        </w:rPr>
        <w:t>µ</w:t>
      </w:r>
      <w:r>
        <w:t>g/mL (”high”) dose.</w:t>
      </w:r>
    </w:p>
    <w:p w:rsidR="005963E4" w:rsidRDefault="00635330" w:rsidP="00A515E2">
      <w:pPr>
        <w:ind w:left="309" w:right="835"/>
      </w:pPr>
      <w:r>
        <w:t>Samples were harvested at 0, 24, and 48 hours after treatment.</w:t>
      </w:r>
    </w:p>
    <w:p w:rsidR="005963E4" w:rsidRDefault="00635330" w:rsidP="00A515E2">
      <w:pPr>
        <w:spacing w:after="265"/>
        <w:ind w:left="-15" w:right="835" w:firstLine="299"/>
      </w:pPr>
      <w:r>
        <w:t xml:space="preserve">For triptolide treatment, </w:t>
      </w:r>
      <w:r>
        <w:rPr>
          <w:i/>
        </w:rPr>
        <w:t xml:space="preserve">Breviolum minutum </w:t>
      </w:r>
      <w:r>
        <w:t xml:space="preserve">cells at a density of </w:t>
      </w:r>
      <w:r>
        <w:t>∼</w:t>
      </w:r>
      <w:r>
        <w:t xml:space="preserve">1 </w:t>
      </w:r>
      <w:r>
        <w:t>×</w:t>
      </w:r>
      <w:r>
        <w:t>10</w:t>
      </w:r>
      <w:r>
        <w:rPr>
          <w:vertAlign w:val="superscript"/>
        </w:rPr>
        <w:t xml:space="preserve">6 </w:t>
      </w:r>
      <w:r>
        <w:t xml:space="preserve">cells/mL were treated with triptolide (Sigma-Aldrich, Cat # T3652) at concentrations of 10 </w:t>
      </w:r>
      <w:r>
        <w:rPr>
          <w:i/>
        </w:rPr>
        <w:t>µ</w:t>
      </w:r>
      <w:r>
        <w:t xml:space="preserve">M (“normal” dose) and 40 </w:t>
      </w:r>
      <w:r>
        <w:rPr>
          <w:i/>
        </w:rPr>
        <w:t>µ</w:t>
      </w:r>
      <w:r>
        <w:t>M (”high”) dose. Samples were harvested at 0, 8, 24 and 48 hours after treatment.</w:t>
      </w:r>
    </w:p>
    <w:p w:rsidR="007B3530" w:rsidRDefault="00635330" w:rsidP="007B3530">
      <w:pPr>
        <w:spacing w:after="24" w:line="375" w:lineRule="auto"/>
        <w:ind w:right="3450"/>
        <w:rPr>
          <w:b/>
        </w:rPr>
      </w:pPr>
      <w:r>
        <w:rPr>
          <w:b/>
        </w:rPr>
        <w:t xml:space="preserve">Cell viability measurements </w:t>
      </w:r>
    </w:p>
    <w:p w:rsidR="005963E4" w:rsidRDefault="00635330" w:rsidP="007B3530">
      <w:pPr>
        <w:spacing w:after="24" w:line="375" w:lineRule="auto"/>
        <w:ind w:right="3450"/>
      </w:pPr>
      <w:r>
        <w:rPr>
          <w:i/>
        </w:rPr>
        <w:t>Photosynthetic activity</w:t>
      </w:r>
    </w:p>
    <w:p w:rsidR="005963E4" w:rsidRDefault="00635330" w:rsidP="00A515E2">
      <w:pPr>
        <w:spacing w:after="264"/>
        <w:ind w:left="-5" w:right="835"/>
      </w:pPr>
      <w:r>
        <w:t>Ma</w:t>
      </w:r>
      <w:r>
        <w:t xml:space="preserve">ximum quantum yields of photosystem II, </w:t>
      </w:r>
      <w:r>
        <w:rPr>
          <w:i/>
        </w:rPr>
        <w:t xml:space="preserve">Fv/Fm </w:t>
      </w:r>
      <w:r>
        <w:t>= (</w:t>
      </w:r>
      <w:r>
        <w:rPr>
          <w:i/>
        </w:rPr>
        <w:t>Fm</w:t>
      </w:r>
      <w:r>
        <w:t>−</w:t>
      </w:r>
      <w:r>
        <w:rPr>
          <w:i/>
        </w:rPr>
        <w:t>F</w:t>
      </w:r>
      <w:r>
        <w:t>0)</w:t>
      </w:r>
      <w:r>
        <w:rPr>
          <w:i/>
        </w:rPr>
        <w:t xml:space="preserve">/Fm </w:t>
      </w:r>
      <w:r>
        <w:t>was used to indicate photosynthetic function. S. minutum cultures (approximately 10</w:t>
      </w:r>
      <w:r>
        <w:rPr>
          <w:vertAlign w:val="superscript"/>
        </w:rPr>
        <w:t xml:space="preserve">6 </w:t>
      </w:r>
      <w:r>
        <w:t xml:space="preserve">cells/mL) were collected and dark adapted for 5 min, and </w:t>
      </w:r>
      <w:r>
        <w:rPr>
          <w:i/>
        </w:rPr>
        <w:t xml:space="preserve">Fv/Fm </w:t>
      </w:r>
      <w:r>
        <w:t>was determined using a Dual Pam-100 fluorometer (</w:t>
      </w:r>
      <w:r>
        <w:t>Heinz Walz).</w:t>
      </w:r>
    </w:p>
    <w:p w:rsidR="005963E4" w:rsidRDefault="00635330" w:rsidP="00A515E2">
      <w:pPr>
        <w:spacing w:after="138" w:line="259" w:lineRule="auto"/>
        <w:ind w:left="0" w:right="0" w:firstLine="0"/>
      </w:pPr>
      <w:r>
        <w:rPr>
          <w:i/>
        </w:rPr>
        <w:t>Colony formation assay</w:t>
      </w:r>
    </w:p>
    <w:p w:rsidR="005963E4" w:rsidRDefault="00635330" w:rsidP="00A515E2">
      <w:pPr>
        <w:spacing w:after="264"/>
        <w:ind w:left="-5" w:right="835"/>
      </w:pPr>
      <w:r>
        <w:t xml:space="preserve">Fresh SSB01 cells were sampled at 0, 24 and 48 hours after the treatment of transcription inhibitor </w:t>
      </w:r>
      <w:r>
        <w:rPr>
          <w:i/>
        </w:rPr>
        <w:t>α</w:t>
      </w:r>
      <w:r>
        <w:t xml:space="preserve">-amanitin. For each condition, cell suspensions were diluted 1:5 and 1:10 before plating 1 </w:t>
      </w:r>
      <w:r>
        <w:rPr>
          <w:i/>
        </w:rPr>
        <w:t>µ</w:t>
      </w:r>
      <w:r>
        <w:t>L of each dilution on marin</w:t>
      </w:r>
      <w:r>
        <w:t>e broth (BD) agar plates. Plates were incubated at 27</w:t>
      </w:r>
      <w:r>
        <w:rPr>
          <w:vertAlign w:val="superscript"/>
        </w:rPr>
        <w:t>◦</w:t>
      </w:r>
      <w:r>
        <w:t xml:space="preserve">C at a light intensity of 10 </w:t>
      </w:r>
      <w:r>
        <w:rPr>
          <w:i/>
        </w:rPr>
        <w:t>µ</w:t>
      </w:r>
      <w:r>
        <w:t>mol photons m</w:t>
      </w:r>
      <w:r>
        <w:rPr>
          <w:vertAlign w:val="superscript"/>
        </w:rPr>
        <w:t xml:space="preserve">2 </w:t>
      </w:r>
      <w:r>
        <w:t>s</w:t>
      </w:r>
      <w:r>
        <w:rPr>
          <w:vertAlign w:val="superscript"/>
        </w:rPr>
        <w:t>1</w:t>
      </w:r>
      <w:r>
        <w:t>. Cell numbers on each plate were counted after three weeks.</w:t>
      </w:r>
    </w:p>
    <w:p w:rsidR="005963E4" w:rsidRDefault="00635330" w:rsidP="00A515E2">
      <w:pPr>
        <w:pStyle w:val="Heading2"/>
        <w:ind w:left="10" w:right="850"/>
        <w:jc w:val="both"/>
      </w:pPr>
      <w:r>
        <w:t>Hi-C experiments</w:t>
      </w:r>
    </w:p>
    <w:p w:rsidR="005963E4" w:rsidRDefault="00635330" w:rsidP="00A515E2">
      <w:pPr>
        <w:ind w:left="-5" w:right="835"/>
      </w:pPr>
      <w:r>
        <w:t xml:space="preserve">The in situ Hi-C procedure used to map 3D genomic interactions in </w:t>
      </w:r>
      <w:r>
        <w:rPr>
          <w:i/>
        </w:rPr>
        <w:t xml:space="preserve">B. minutum </w:t>
      </w:r>
      <w:r>
        <w:t>was adapted from previous studies</w:t>
      </w:r>
      <w:r>
        <w:rPr>
          <w:vertAlign w:val="superscript"/>
        </w:rPr>
        <w:t xml:space="preserve">3 </w:t>
      </w:r>
      <w:r>
        <w:t>as follows:</w:t>
      </w:r>
    </w:p>
    <w:p w:rsidR="005963E4" w:rsidRDefault="00635330" w:rsidP="00A515E2">
      <w:pPr>
        <w:spacing w:after="22" w:line="265" w:lineRule="auto"/>
        <w:ind w:left="0" w:right="429" w:firstLine="299"/>
      </w:pPr>
      <w:r>
        <w:rPr>
          <w:i/>
        </w:rPr>
        <w:t xml:space="preserve">B. minutum </w:t>
      </w:r>
      <w:r>
        <w:t>SSBO1 cells were first crosslinked using 37% formaldehyde (Sigma) at a final concentration of 1% for 15 minutes at room temperature. Formaldehyde was then quenched using 2.5 M Glycine at a final con</w:t>
      </w:r>
      <w:r>
        <w:t xml:space="preserve">centration of 0.25 M. Cells were subsequently centrifuged at 2,000 </w:t>
      </w:r>
      <w:r>
        <w:rPr>
          <w:i/>
        </w:rPr>
        <w:t xml:space="preserve">g </w:t>
      </w:r>
      <w:r>
        <w:t>for 5 minutes, washed once in 1</w:t>
      </w:r>
      <w:r>
        <w:t xml:space="preserve">× </w:t>
      </w:r>
      <w:r>
        <w:t>PBS, and stored at -80</w:t>
      </w:r>
      <w:r>
        <w:rPr>
          <w:vertAlign w:val="superscript"/>
        </w:rPr>
        <w:t>◦</w:t>
      </w:r>
      <w:r>
        <w:t>C.</w:t>
      </w:r>
    </w:p>
    <w:p w:rsidR="005963E4" w:rsidRDefault="00635330" w:rsidP="00A515E2">
      <w:pPr>
        <w:ind w:left="-15" w:right="835" w:firstLine="299"/>
      </w:pPr>
      <w:r>
        <w:t xml:space="preserve">Cell lysis was initiated by incubation with 250 </w:t>
      </w:r>
      <w:r>
        <w:rPr>
          <w:i/>
        </w:rPr>
        <w:t>µ</w:t>
      </w:r>
      <w:r>
        <w:t xml:space="preserve">L of cold Hi-C Lysis Buffer (10 mM Tris-HCl pH 8.0, 10 mM NaCl, 0.2% Igepal CA630) on ice for 15 minutes, followed by centrifugation at 2,500 </w:t>
      </w:r>
      <w:r>
        <w:rPr>
          <w:i/>
        </w:rPr>
        <w:t xml:space="preserve">g </w:t>
      </w:r>
      <w:r>
        <w:t xml:space="preserve">for 5 minutes, a wash with 500 </w:t>
      </w:r>
      <w:r>
        <w:rPr>
          <w:i/>
        </w:rPr>
        <w:t>µ</w:t>
      </w:r>
      <w:r>
        <w:t xml:space="preserve">L of cold Hi-C Lysis Buffer, and centrifugation at 2,500 </w:t>
      </w:r>
      <w:r>
        <w:rPr>
          <w:i/>
        </w:rPr>
        <w:t xml:space="preserve">g </w:t>
      </w:r>
      <w:r>
        <w:t>for 5 minutes. The pe</w:t>
      </w:r>
      <w:r>
        <w:t xml:space="preserve">llet was the resuspended in 50 </w:t>
      </w:r>
      <w:r>
        <w:rPr>
          <w:i/>
        </w:rPr>
        <w:t>µ</w:t>
      </w:r>
      <w:r>
        <w:t>L of 0.5% SDS and incubated at 62</w:t>
      </w:r>
      <w:r>
        <w:rPr>
          <w:vertAlign w:val="superscript"/>
        </w:rPr>
        <w:t>◦</w:t>
      </w:r>
      <w:r>
        <w:t xml:space="preserve">C for 10 minutes (except for the “no-denaturation sample, for which the pellet was resuspended in 50 </w:t>
      </w:r>
      <w:r>
        <w:rPr>
          <w:i/>
        </w:rPr>
        <w:t>µ</w:t>
      </w:r>
      <w:r>
        <w:t>L H</w:t>
      </w:r>
      <w:r>
        <w:rPr>
          <w:vertAlign w:val="subscript"/>
        </w:rPr>
        <w:t>2</w:t>
      </w:r>
      <w:r>
        <w:t xml:space="preserve">O). SDS was quenched by adding 145 </w:t>
      </w:r>
      <w:r>
        <w:rPr>
          <w:i/>
        </w:rPr>
        <w:t>µ</w:t>
      </w:r>
      <w:r>
        <w:t>L of H</w:t>
      </w:r>
      <w:r>
        <w:rPr>
          <w:vertAlign w:val="subscript"/>
        </w:rPr>
        <w:t>2</w:t>
      </w:r>
      <w:r>
        <w:t xml:space="preserve">O and 25 </w:t>
      </w:r>
      <w:r>
        <w:rPr>
          <w:i/>
        </w:rPr>
        <w:t>µ</w:t>
      </w:r>
      <w:r>
        <w:t>L of 10% Triton X-100 and incub</w:t>
      </w:r>
      <w:r>
        <w:t>ating at 37</w:t>
      </w:r>
      <w:r>
        <w:rPr>
          <w:vertAlign w:val="superscript"/>
        </w:rPr>
        <w:t>◦</w:t>
      </w:r>
      <w:r>
        <w:t>C for 15 minutes.</w:t>
      </w:r>
    </w:p>
    <w:p w:rsidR="005963E4" w:rsidRDefault="00635330" w:rsidP="00A515E2">
      <w:pPr>
        <w:ind w:left="-15" w:right="835" w:firstLine="299"/>
      </w:pPr>
      <w:r>
        <w:t xml:space="preserve">Restriction digestion was carried out by adding 25 </w:t>
      </w:r>
      <w:r>
        <w:rPr>
          <w:i/>
        </w:rPr>
        <w:t>µ</w:t>
      </w:r>
      <w:r>
        <w:t>L of 10</w:t>
      </w:r>
      <w:r>
        <w:t xml:space="preserve">× </w:t>
      </w:r>
      <w:r>
        <w:t xml:space="preserve">NEBuffer 2 and 100 U of the MboI restriction enzyme (NEB, R0147) and incubating for </w:t>
      </w:r>
      <w:r>
        <w:t>≥</w:t>
      </w:r>
      <w:r>
        <w:t>2 hours at 37</w:t>
      </w:r>
      <w:r>
        <w:rPr>
          <w:vertAlign w:val="superscript"/>
        </w:rPr>
        <w:t>◦</w:t>
      </w:r>
      <w:r>
        <w:t xml:space="preserve">C in a Thermomixer at 900 rpm. The reaction was then incubated at </w:t>
      </w:r>
      <w:r>
        <w:t>62</w:t>
      </w:r>
      <w:r>
        <w:rPr>
          <w:vertAlign w:val="superscript"/>
        </w:rPr>
        <w:t>◦</w:t>
      </w:r>
      <w:r>
        <w:t>C for 20 minutes in order to inactivate the restriction enzyme.</w:t>
      </w:r>
    </w:p>
    <w:p w:rsidR="005963E4" w:rsidRDefault="00635330" w:rsidP="00A515E2">
      <w:pPr>
        <w:spacing w:after="38"/>
        <w:ind w:left="-15" w:right="835" w:firstLine="299"/>
      </w:pPr>
      <w:r>
        <w:t xml:space="preserve">Fragment ends were filled in by adding 37.5 </w:t>
      </w:r>
      <w:r>
        <w:rPr>
          <w:i/>
        </w:rPr>
        <w:t>µ</w:t>
      </w:r>
      <w:r>
        <w:t xml:space="preserve">L of 0.4 mM biotin-14-dATP (ThermoFisher Scientific, # 19524-016), 1.5 </w:t>
      </w:r>
      <w:r>
        <w:rPr>
          <w:i/>
        </w:rPr>
        <w:t>µ</w:t>
      </w:r>
      <w:r>
        <w:t xml:space="preserve">L each of 10 mM dCTP, dGTP and dTTP, and 8 </w:t>
      </w:r>
      <w:r>
        <w:rPr>
          <w:i/>
        </w:rPr>
        <w:t>µ</w:t>
      </w:r>
      <w:r>
        <w:t>L of 5U/</w:t>
      </w:r>
      <w:r>
        <w:rPr>
          <w:i/>
        </w:rPr>
        <w:t>µ</w:t>
      </w:r>
      <w:r>
        <w:t xml:space="preserve">L DNA Polymerase I </w:t>
      </w:r>
      <w:r>
        <w:t>Large (Klenow) Fragment (NEB M0210). The reaction was the incubated at 37</w:t>
      </w:r>
      <w:r>
        <w:rPr>
          <w:vertAlign w:val="superscript"/>
        </w:rPr>
        <w:t>◦</w:t>
      </w:r>
      <w:r>
        <w:t>C in a Thermomixer at 900 rpm for 45 minutes.</w:t>
      </w:r>
    </w:p>
    <w:p w:rsidR="005963E4" w:rsidRDefault="00635330" w:rsidP="00A515E2">
      <w:pPr>
        <w:ind w:left="-15" w:right="835" w:firstLine="299"/>
      </w:pPr>
      <w:r>
        <w:t xml:space="preserve">Fragment end ligation was carried out by adding 663 </w:t>
      </w:r>
      <w:r>
        <w:rPr>
          <w:i/>
        </w:rPr>
        <w:t>µ</w:t>
      </w:r>
      <w:r>
        <w:t>L H</w:t>
      </w:r>
      <w:r>
        <w:rPr>
          <w:vertAlign w:val="subscript"/>
        </w:rPr>
        <w:t>2</w:t>
      </w:r>
      <w:r>
        <w:t xml:space="preserve">O, 120 </w:t>
      </w:r>
      <w:r>
        <w:rPr>
          <w:i/>
        </w:rPr>
        <w:t>µ</w:t>
      </w:r>
      <w:r>
        <w:t>L 10</w:t>
      </w:r>
      <w:r>
        <w:t xml:space="preserve">× </w:t>
      </w:r>
      <w:r>
        <w:t xml:space="preserve">NEB T4 DNA ligase buffer (NEB B0202), 100 </w:t>
      </w:r>
      <w:r>
        <w:rPr>
          <w:i/>
        </w:rPr>
        <w:t>µ</w:t>
      </w:r>
      <w:r>
        <w:t>L of 10% Triton X-100,</w:t>
      </w:r>
      <w:r>
        <w:t xml:space="preserve"> 12 </w:t>
      </w:r>
      <w:r>
        <w:rPr>
          <w:i/>
        </w:rPr>
        <w:t>µ</w:t>
      </w:r>
      <w:r>
        <w:t>L of 10 mg/mL Bovine Serum Albumin (100</w:t>
      </w:r>
      <w:r>
        <w:t xml:space="preserve">× </w:t>
      </w:r>
      <w:r>
        <w:t xml:space="preserve">BSA, NEB), 5 </w:t>
      </w:r>
      <w:r>
        <w:rPr>
          <w:i/>
        </w:rPr>
        <w:t>µ</w:t>
      </w:r>
      <w:r>
        <w:t>L of 400 U/</w:t>
      </w:r>
      <w:r>
        <w:rPr>
          <w:i/>
        </w:rPr>
        <w:t>µ</w:t>
      </w:r>
      <w:r>
        <w:t xml:space="preserve">L T4 DNA Ligase (NEB M0202), and incubating at room temperature for </w:t>
      </w:r>
      <w:r>
        <w:t>≥</w:t>
      </w:r>
      <w:r>
        <w:t>4 hours with rotation.</w:t>
      </w:r>
    </w:p>
    <w:p w:rsidR="005963E4" w:rsidRDefault="00635330" w:rsidP="00A515E2">
      <w:pPr>
        <w:ind w:left="-15" w:right="835" w:firstLine="299"/>
      </w:pPr>
      <w:r>
        <w:t xml:space="preserve">Nuclei were then pelleted by centrifugation at 3,500 </w:t>
      </w:r>
      <w:r>
        <w:rPr>
          <w:i/>
        </w:rPr>
        <w:t xml:space="preserve">g </w:t>
      </w:r>
      <w:r>
        <w:t>for 5 minutes; the pellet was resuspe</w:t>
      </w:r>
      <w:r>
        <w:t xml:space="preserve">nded in 200 </w:t>
      </w:r>
      <w:r>
        <w:rPr>
          <w:i/>
        </w:rPr>
        <w:t>µ</w:t>
      </w:r>
      <w:r>
        <w:t>L ChIP Elution Buffer (1% SDS, 0.1 M NaHCO</w:t>
      </w:r>
      <w:r>
        <w:rPr>
          <w:vertAlign w:val="subscript"/>
        </w:rPr>
        <w:t>3</w:t>
      </w:r>
      <w:r>
        <w:t>), Proteinase K was added, and incubated at 65</w:t>
      </w:r>
      <w:r>
        <w:rPr>
          <w:vertAlign w:val="superscript"/>
        </w:rPr>
        <w:t>◦</w:t>
      </w:r>
      <w:r>
        <w:t>C overnight to reverse crosslinks.</w:t>
      </w:r>
    </w:p>
    <w:p w:rsidR="005963E4" w:rsidRDefault="00635330" w:rsidP="00A515E2">
      <w:pPr>
        <w:ind w:left="-15" w:right="835" w:firstLine="299"/>
      </w:pPr>
      <w:r>
        <w:t xml:space="preserve">After addition of 600 </w:t>
      </w:r>
      <w:r>
        <w:rPr>
          <w:i/>
        </w:rPr>
        <w:t>µ</w:t>
      </w:r>
      <w:r>
        <w:t>L 1</w:t>
      </w:r>
      <w:r>
        <w:t>×</w:t>
      </w:r>
      <w:r>
        <w:t>TE buffer, DNA was sonicated using a Qsonica S-4000 with a 1/16” tip for 3 minutes, with 10</w:t>
      </w:r>
      <w:r>
        <w:t xml:space="preserve"> second pulses at intensity 3.5, and 20 seconds rest between pulses. DNA was then purified using the MinElute PCR Purificaiton Kit (Qiagen #28006), with elution in a total volume of 300 </w:t>
      </w:r>
      <w:r>
        <w:rPr>
          <w:i/>
        </w:rPr>
        <w:t>µ</w:t>
      </w:r>
      <w:r>
        <w:t>L 1</w:t>
      </w:r>
      <w:r>
        <w:t xml:space="preserve">× </w:t>
      </w:r>
      <w:r>
        <w:t>EB buffer.</w:t>
      </w:r>
    </w:p>
    <w:p w:rsidR="005963E4" w:rsidRDefault="00635330" w:rsidP="00A515E2">
      <w:pPr>
        <w:ind w:left="-15" w:right="835" w:firstLine="299"/>
      </w:pPr>
      <w:r>
        <w:t xml:space="preserve">For streptavidin pulldown of biotin-labeled DNA, 150 </w:t>
      </w:r>
      <w:r>
        <w:rPr>
          <w:i/>
        </w:rPr>
        <w:t>µ</w:t>
      </w:r>
      <w:r>
        <w:t xml:space="preserve">L of 10 mg/mL Dynabeads MyOne Streptavidin T1 beads (Life Technologies, 65602) were separated on a magnetic stand, then washed with 400 </w:t>
      </w:r>
      <w:r>
        <w:rPr>
          <w:i/>
        </w:rPr>
        <w:t>µ</w:t>
      </w:r>
      <w:r>
        <w:t>L of 1</w:t>
      </w:r>
      <w:r>
        <w:t xml:space="preserve">× </w:t>
      </w:r>
      <w:r>
        <w:t>TWB (Tween Washing Buffer; 5 mM Tris-HCl pH 7.5; 0.5 mM EDTA; 1 M NaCl; 0.05% Tween 20). The beads were resusp</w:t>
      </w:r>
      <w:r>
        <w:t xml:space="preserve">ended in 300 </w:t>
      </w:r>
      <w:r>
        <w:rPr>
          <w:i/>
        </w:rPr>
        <w:t>µ</w:t>
      </w:r>
      <w:r>
        <w:t>L of 2</w:t>
      </w:r>
      <w:r>
        <w:t xml:space="preserve">× </w:t>
      </w:r>
      <w:r>
        <w:t xml:space="preserve">Binding Buffer (10 mM Tris-HCl pH 7.5, 1 mM EDTA; 2 M NaCl), the sonicated DNA was added, and the beads were incubated for </w:t>
      </w:r>
      <w:r>
        <w:t>≥</w:t>
      </w:r>
      <w:r>
        <w:t xml:space="preserve">15 minutes at room temperature on a rotator. After separation on a magnetic stand, the beads were washed with </w:t>
      </w:r>
      <w:r>
        <w:t xml:space="preserve">600 </w:t>
      </w:r>
      <w:r>
        <w:rPr>
          <w:i/>
        </w:rPr>
        <w:t>µ</w:t>
      </w:r>
      <w:r>
        <w:t>L of 1</w:t>
      </w:r>
      <w:r>
        <w:t xml:space="preserve">× </w:t>
      </w:r>
      <w:r>
        <w:t xml:space="preserve">TWB, and </w:t>
      </w:r>
      <w:r>
        <w:lastRenderedPageBreak/>
        <w:t>heated at 55</w:t>
      </w:r>
      <w:r>
        <w:rPr>
          <w:vertAlign w:val="superscript"/>
        </w:rPr>
        <w:t>◦</w:t>
      </w:r>
      <w:r>
        <w:t>C in a Thermomixer with shaking for 2 minutes. After removal of the supernatant on a magnetic stand, the TWB wash and 55</w:t>
      </w:r>
      <w:r>
        <w:rPr>
          <w:vertAlign w:val="superscript"/>
        </w:rPr>
        <w:t>◦</w:t>
      </w:r>
      <w:r>
        <w:t>C incubation were repeated.</w:t>
      </w:r>
    </w:p>
    <w:p w:rsidR="005963E4" w:rsidRDefault="00635330" w:rsidP="00A515E2">
      <w:pPr>
        <w:ind w:left="-15" w:right="835" w:firstLine="299"/>
      </w:pPr>
      <w:r>
        <w:t xml:space="preserve">Final libraries were prepared on beads using the NEBNext Ultra II DNA Library Prep Kit (NEB, #E7645) as follows. End repair was carried out by resuspending beads in 50 </w:t>
      </w:r>
      <w:r>
        <w:rPr>
          <w:i/>
        </w:rPr>
        <w:t>µ</w:t>
      </w:r>
      <w:r>
        <w:t>L 1</w:t>
      </w:r>
      <w:r>
        <w:t xml:space="preserve">× </w:t>
      </w:r>
      <w:r>
        <w:t xml:space="preserve">EB buffer, and adding 3 </w:t>
      </w:r>
      <w:r>
        <w:rPr>
          <w:i/>
        </w:rPr>
        <w:t>µ</w:t>
      </w:r>
      <w:r>
        <w:t xml:space="preserve">L NEB Ultra End Repair Enzyme and 7 </w:t>
      </w:r>
      <w:r>
        <w:rPr>
          <w:i/>
        </w:rPr>
        <w:t>µ</w:t>
      </w:r>
      <w:r>
        <w:t>L NEB Ultra End Repa</w:t>
      </w:r>
      <w:r>
        <w:t>ir Enzyme, followed by incubation at 20</w:t>
      </w:r>
      <w:r>
        <w:rPr>
          <w:vertAlign w:val="superscript"/>
        </w:rPr>
        <w:t>◦</w:t>
      </w:r>
      <w:r>
        <w:t>C for 30 minutes and then at 65</w:t>
      </w:r>
      <w:r>
        <w:rPr>
          <w:vertAlign w:val="superscript"/>
        </w:rPr>
        <w:t>◦</w:t>
      </w:r>
      <w:r>
        <w:t>C for 30 minutes.</w:t>
      </w:r>
    </w:p>
    <w:p w:rsidR="005963E4" w:rsidRDefault="00635330" w:rsidP="00A515E2">
      <w:pPr>
        <w:spacing w:after="41"/>
        <w:ind w:left="-15" w:right="835" w:firstLine="299"/>
      </w:pPr>
      <w:r>
        <w:t xml:space="preserve">Adapters were ligated to DNA fragments by adding 30 </w:t>
      </w:r>
      <w:r>
        <w:rPr>
          <w:i/>
        </w:rPr>
        <w:t>µ</w:t>
      </w:r>
      <w:r>
        <w:t xml:space="preserve">L Blunt Ligation mix, 1 </w:t>
      </w:r>
      <w:r>
        <w:rPr>
          <w:i/>
        </w:rPr>
        <w:t>µ</w:t>
      </w:r>
      <w:r>
        <w:t xml:space="preserve">L Ligation Enhancer and 2.5 </w:t>
      </w:r>
      <w:r>
        <w:rPr>
          <w:i/>
        </w:rPr>
        <w:t>µ</w:t>
      </w:r>
      <w:r>
        <w:t>L NEB Adapter, incubating at 20</w:t>
      </w:r>
      <w:r>
        <w:rPr>
          <w:vertAlign w:val="superscript"/>
        </w:rPr>
        <w:t>◦</w:t>
      </w:r>
      <w:r>
        <w:t xml:space="preserve">C for 20 minutes, adding 3 </w:t>
      </w:r>
      <w:r>
        <w:rPr>
          <w:i/>
        </w:rPr>
        <w:t>µ</w:t>
      </w:r>
      <w:r>
        <w:t>L USER enzyme, and incubating at 37</w:t>
      </w:r>
      <w:r>
        <w:rPr>
          <w:vertAlign w:val="superscript"/>
        </w:rPr>
        <w:t>◦</w:t>
      </w:r>
      <w:r>
        <w:t>C for 15 minutes.</w:t>
      </w:r>
    </w:p>
    <w:p w:rsidR="005963E4" w:rsidRDefault="00635330" w:rsidP="00A515E2">
      <w:pPr>
        <w:ind w:left="-15" w:right="835" w:firstLine="299"/>
      </w:pPr>
      <w:r>
        <w:t xml:space="preserve">Beads were then separated on a magnetic stand, and washed with 600 </w:t>
      </w:r>
      <w:r>
        <w:rPr>
          <w:i/>
        </w:rPr>
        <w:t>µ</w:t>
      </w:r>
      <w:r>
        <w:t>L TWB for 2 minutes at 55</w:t>
      </w:r>
      <w:r>
        <w:rPr>
          <w:vertAlign w:val="superscript"/>
        </w:rPr>
        <w:t>◦</w:t>
      </w:r>
      <w:r>
        <w:t xml:space="preserve">C, 1000 rpm in a Thermomixer. After separation on a magnetic stand, beads were washed in 100 </w:t>
      </w:r>
      <w:r>
        <w:rPr>
          <w:i/>
        </w:rPr>
        <w:t>µ</w:t>
      </w:r>
      <w:r>
        <w:t xml:space="preserve">L 0.1 </w:t>
      </w:r>
      <w:r>
        <w:t xml:space="preserve">× </w:t>
      </w:r>
      <w:r>
        <w:t>TE bu</w:t>
      </w:r>
      <w:r>
        <w:t xml:space="preserve">ffer, then resuspended in 16 </w:t>
      </w:r>
      <w:r>
        <w:rPr>
          <w:i/>
        </w:rPr>
        <w:t>µ</w:t>
      </w:r>
      <w:r>
        <w:t xml:space="preserve">L 0.1 </w:t>
      </w:r>
      <w:r>
        <w:t xml:space="preserve">× </w:t>
      </w:r>
      <w:r>
        <w:t>TE buffer, and heated at 98</w:t>
      </w:r>
      <w:r>
        <w:rPr>
          <w:vertAlign w:val="superscript"/>
        </w:rPr>
        <w:t>◦</w:t>
      </w:r>
      <w:r>
        <w:t>C for 10 minutes.</w:t>
      </w:r>
    </w:p>
    <w:p w:rsidR="005963E4" w:rsidRDefault="00635330" w:rsidP="00A515E2">
      <w:pPr>
        <w:spacing w:after="41"/>
        <w:ind w:left="-15" w:right="835" w:firstLine="299"/>
      </w:pPr>
      <w:r>
        <w:t xml:space="preserve">For PCR, 5 </w:t>
      </w:r>
      <w:r>
        <w:rPr>
          <w:i/>
        </w:rPr>
        <w:t>µ</w:t>
      </w:r>
      <w:r>
        <w:t xml:space="preserve">L of each of the i5 and i7 NEB Next sequencing adapters were added together with 25 </w:t>
      </w:r>
      <w:r>
        <w:rPr>
          <w:i/>
        </w:rPr>
        <w:t>µ</w:t>
      </w:r>
      <w:r>
        <w:t>L 2</w:t>
      </w:r>
      <w:r>
        <w:t xml:space="preserve">× </w:t>
      </w:r>
      <w:r>
        <w:t>NEB Ultra PCR Mater Mix. PCR was carried out with a 98</w:t>
      </w:r>
      <w:r>
        <w:rPr>
          <w:vertAlign w:val="superscript"/>
        </w:rPr>
        <w:t>◦</w:t>
      </w:r>
      <w:r>
        <w:t>C incubation fo</w:t>
      </w:r>
      <w:r>
        <w:t>r 30 seconds and 12 cycles of 98</w:t>
      </w:r>
      <w:r>
        <w:rPr>
          <w:vertAlign w:val="superscript"/>
        </w:rPr>
        <w:t>◦</w:t>
      </w:r>
      <w:r>
        <w:t>C for 10 seconds, 65</w:t>
      </w:r>
      <w:r>
        <w:rPr>
          <w:vertAlign w:val="superscript"/>
        </w:rPr>
        <w:t>◦</w:t>
      </w:r>
      <w:r>
        <w:t>C for 30 seconds, and 72</w:t>
      </w:r>
      <w:r>
        <w:rPr>
          <w:vertAlign w:val="superscript"/>
        </w:rPr>
        <w:t>◦</w:t>
      </w:r>
      <w:r>
        <w:t>C for 1 minute, followed by incubation at 72</w:t>
      </w:r>
      <w:r>
        <w:rPr>
          <w:vertAlign w:val="superscript"/>
        </w:rPr>
        <w:t>◦</w:t>
      </w:r>
      <w:r>
        <w:t>C for 5 minutes.</w:t>
      </w:r>
    </w:p>
    <w:p w:rsidR="005963E4" w:rsidRDefault="00635330" w:rsidP="00A515E2">
      <w:pPr>
        <w:ind w:left="309" w:right="835"/>
      </w:pPr>
      <w:r>
        <w:t>Beads were separated on a magnetic stand, and the supernatant was cleaned up using 1</w:t>
      </w:r>
      <w:r>
        <w:t xml:space="preserve">× </w:t>
      </w:r>
      <w:r>
        <w:t>AMPure XP beads.</w:t>
      </w:r>
    </w:p>
    <w:p w:rsidR="005963E4" w:rsidRDefault="00635330" w:rsidP="00A515E2">
      <w:pPr>
        <w:spacing w:after="275"/>
        <w:ind w:left="-15" w:right="835" w:firstLine="299"/>
      </w:pPr>
      <w:r>
        <w:t>Libraries we</w:t>
      </w:r>
      <w:r>
        <w:t xml:space="preserve">re sequenced in a paired-end format on </w:t>
      </w:r>
      <w:proofErr w:type="gramStart"/>
      <w:r>
        <w:t>a</w:t>
      </w:r>
      <w:proofErr w:type="gramEnd"/>
      <w:r>
        <w:t xml:space="preserve"> Illumina NextSeq instrument using NextSeq 500/550 high output kits (either 2</w:t>
      </w:r>
      <w:r>
        <w:t>×</w:t>
      </w:r>
      <w:r>
        <w:t>75 or 2</w:t>
      </w:r>
      <w:r>
        <w:t>×</w:t>
      </w:r>
      <w:r>
        <w:t>36 cycles).</w:t>
      </w:r>
    </w:p>
    <w:p w:rsidR="005963E4" w:rsidRDefault="00635330" w:rsidP="00A515E2">
      <w:pPr>
        <w:pStyle w:val="Heading2"/>
        <w:spacing w:after="114"/>
        <w:ind w:left="10" w:right="850"/>
        <w:jc w:val="both"/>
      </w:pPr>
      <w:r>
        <w:t>Hi-C data processing and assembly scaffolding</w:t>
      </w:r>
    </w:p>
    <w:p w:rsidR="005963E4" w:rsidRDefault="00635330" w:rsidP="00A515E2">
      <w:pPr>
        <w:ind w:left="-5" w:right="835"/>
      </w:pPr>
      <w:r>
        <w:t>As an initial step, Hi-C sequencing reads from all libraries were trimme</w:t>
      </w:r>
      <w:r>
        <w:t xml:space="preserve">d of adapter sequences, pooled together, and processed against the previously published </w:t>
      </w:r>
      <w:r>
        <w:rPr>
          <w:i/>
        </w:rPr>
        <w:t xml:space="preserve">B. minutum </w:t>
      </w:r>
      <w:r>
        <w:t>assembly</w:t>
      </w:r>
      <w:r>
        <w:rPr>
          <w:vertAlign w:val="superscript"/>
        </w:rPr>
        <w:t xml:space="preserve">9 </w:t>
      </w:r>
      <w:r>
        <w:t>using the Juicer pipeline</w:t>
      </w:r>
      <w:r>
        <w:rPr>
          <w:vertAlign w:val="superscript"/>
        </w:rPr>
        <w:t xml:space="preserve">26 </w:t>
      </w:r>
      <w:r>
        <w:t>for analyzing Hi-C datasets (version 1.8.9 of Juicer Tools).</w:t>
      </w:r>
    </w:p>
    <w:p w:rsidR="005963E4" w:rsidRDefault="00635330" w:rsidP="007B3530">
      <w:pPr>
        <w:ind w:left="-15" w:right="835" w:firstLine="299"/>
      </w:pPr>
      <w:r>
        <w:t>The resulting Hi-C matrices were then used as input to the 3D DNA pipeline</w:t>
      </w:r>
      <w:r>
        <w:rPr>
          <w:vertAlign w:val="superscript"/>
        </w:rPr>
        <w:t xml:space="preserve">27 </w:t>
      </w:r>
      <w:r>
        <w:t xml:space="preserve">for automated scaffolding with the following parameters: </w:t>
      </w:r>
      <w:r w:rsidRPr="00E57F69">
        <w:rPr>
          <w:rFonts w:ascii="Calibri" w:eastAsia="Calibri" w:hAnsi="Calibri" w:cs="Calibri"/>
          <w:i/>
        </w:rPr>
        <w:t>--editor-coarse-resolution</w:t>
      </w:r>
      <w:r w:rsidR="007B3530" w:rsidRPr="00E57F69">
        <w:rPr>
          <w:rFonts w:ascii="Calibri" w:eastAsia="Calibri" w:hAnsi="Calibri" w:cs="Calibri"/>
          <w:i/>
        </w:rPr>
        <w:t xml:space="preserve"> </w:t>
      </w:r>
      <w:r w:rsidRPr="00E57F69">
        <w:rPr>
          <w:rFonts w:ascii="Calibri" w:eastAsia="Calibri" w:hAnsi="Calibri" w:cs="Calibri"/>
          <w:i/>
        </w:rPr>
        <w:t>5000</w:t>
      </w:r>
      <w:r w:rsidR="007B3530" w:rsidRPr="00E57F69">
        <w:rPr>
          <w:rFonts w:ascii="Calibri" w:eastAsia="Calibri" w:hAnsi="Calibri" w:cs="Calibri"/>
          <w:i/>
        </w:rPr>
        <w:t xml:space="preserve"> </w:t>
      </w:r>
      <w:r w:rsidRPr="00E57F69">
        <w:rPr>
          <w:rFonts w:ascii="Calibri" w:eastAsia="Calibri" w:hAnsi="Calibri" w:cs="Calibri"/>
          <w:i/>
        </w:rPr>
        <w:t>--editor-coarse-region</w:t>
      </w:r>
      <w:r w:rsidR="007B3530" w:rsidRPr="00E57F69">
        <w:rPr>
          <w:rFonts w:ascii="Calibri" w:eastAsia="Calibri" w:hAnsi="Calibri" w:cs="Calibri"/>
          <w:i/>
        </w:rPr>
        <w:t xml:space="preserve"> </w:t>
      </w:r>
      <w:r w:rsidRPr="00E57F69">
        <w:rPr>
          <w:rFonts w:ascii="Calibri" w:eastAsia="Calibri" w:hAnsi="Calibri" w:cs="Calibri"/>
          <w:i/>
        </w:rPr>
        <w:t>5000</w:t>
      </w:r>
      <w:r w:rsidR="007B3530" w:rsidRPr="00E57F69">
        <w:rPr>
          <w:rFonts w:ascii="Calibri" w:eastAsia="Calibri" w:hAnsi="Calibri" w:cs="Calibri"/>
          <w:i/>
        </w:rPr>
        <w:t xml:space="preserve"> --polisher-input-size </w:t>
      </w:r>
      <w:r w:rsidRPr="00E57F69">
        <w:rPr>
          <w:rFonts w:ascii="Calibri" w:eastAsia="Calibri" w:hAnsi="Calibri" w:cs="Calibri"/>
          <w:i/>
        </w:rPr>
        <w:t>100000</w:t>
      </w:r>
      <w:r w:rsidR="007B3530" w:rsidRPr="00E57F69">
        <w:rPr>
          <w:rFonts w:ascii="Calibri" w:eastAsia="Calibri" w:hAnsi="Calibri" w:cs="Calibri"/>
          <w:i/>
        </w:rPr>
        <w:t xml:space="preserve"> </w:t>
      </w:r>
      <w:r w:rsidRPr="00E57F69">
        <w:rPr>
          <w:rFonts w:ascii="Calibri" w:eastAsia="Calibri" w:hAnsi="Calibri" w:cs="Calibri"/>
          <w:i/>
        </w:rPr>
        <w:t>--polisher-coarse-resolution</w:t>
      </w:r>
      <w:r w:rsidR="007B3530" w:rsidRPr="00E57F69">
        <w:rPr>
          <w:rFonts w:ascii="Calibri" w:eastAsia="Calibri" w:hAnsi="Calibri" w:cs="Calibri"/>
          <w:i/>
        </w:rPr>
        <w:t xml:space="preserve"> </w:t>
      </w:r>
      <w:r w:rsidRPr="00E57F69">
        <w:rPr>
          <w:rFonts w:ascii="Calibri" w:eastAsia="Calibri" w:hAnsi="Calibri" w:cs="Calibri"/>
          <w:i/>
        </w:rPr>
        <w:t>1000</w:t>
      </w:r>
      <w:r w:rsidR="007B3530" w:rsidRPr="00E57F69">
        <w:rPr>
          <w:rFonts w:ascii="Calibri" w:eastAsia="Calibri" w:hAnsi="Calibri" w:cs="Calibri"/>
          <w:i/>
        </w:rPr>
        <w:t xml:space="preserve"> </w:t>
      </w:r>
      <w:r w:rsidRPr="00E57F69">
        <w:rPr>
          <w:rFonts w:ascii="Calibri" w:eastAsia="Calibri" w:hAnsi="Calibri" w:cs="Calibri"/>
          <w:i/>
        </w:rPr>
        <w:t>--polisher-coarse-region</w:t>
      </w:r>
      <w:r w:rsidR="007B3530" w:rsidRPr="00E57F69">
        <w:rPr>
          <w:rFonts w:ascii="Calibri" w:eastAsia="Calibri" w:hAnsi="Calibri" w:cs="Calibri"/>
          <w:i/>
        </w:rPr>
        <w:t xml:space="preserve"> </w:t>
      </w:r>
      <w:r w:rsidRPr="00E57F69">
        <w:rPr>
          <w:rFonts w:ascii="Calibri" w:eastAsia="Calibri" w:hAnsi="Calibri" w:cs="Calibri"/>
          <w:i/>
        </w:rPr>
        <w:t>300000</w:t>
      </w:r>
      <w:r w:rsidR="007B3530" w:rsidRPr="00E57F69">
        <w:rPr>
          <w:rFonts w:ascii="Calibri" w:eastAsia="Calibri" w:hAnsi="Calibri" w:cs="Calibri"/>
          <w:i/>
        </w:rPr>
        <w:t xml:space="preserve"> </w:t>
      </w:r>
      <w:r w:rsidRPr="00E57F69">
        <w:rPr>
          <w:rFonts w:ascii="Calibri" w:eastAsia="Calibri" w:hAnsi="Calibri" w:cs="Calibri"/>
          <w:i/>
        </w:rPr>
        <w:t>--splitter-input-size</w:t>
      </w:r>
      <w:r w:rsidR="007B3530" w:rsidRPr="00E57F69">
        <w:rPr>
          <w:rFonts w:ascii="Calibri" w:eastAsia="Calibri" w:hAnsi="Calibri" w:cs="Calibri"/>
          <w:i/>
        </w:rPr>
        <w:t xml:space="preserve"> </w:t>
      </w:r>
      <w:r w:rsidRPr="00E57F69">
        <w:rPr>
          <w:rFonts w:ascii="Calibri" w:eastAsia="Calibri" w:hAnsi="Calibri" w:cs="Calibri"/>
          <w:i/>
        </w:rPr>
        <w:t>100000</w:t>
      </w:r>
      <w:r w:rsidR="007B3530" w:rsidRPr="00E57F69">
        <w:rPr>
          <w:rFonts w:ascii="Calibri" w:eastAsia="Calibri" w:hAnsi="Calibri" w:cs="Calibri"/>
          <w:i/>
        </w:rPr>
        <w:t xml:space="preserve"> </w:t>
      </w:r>
      <w:r w:rsidRPr="00E57F69">
        <w:rPr>
          <w:rFonts w:ascii="Calibri" w:eastAsia="Calibri" w:hAnsi="Calibri" w:cs="Calibri"/>
          <w:i/>
        </w:rPr>
        <w:t>--splitter-coarse-resolution</w:t>
      </w:r>
      <w:r w:rsidR="007B3530" w:rsidRPr="00E57F69">
        <w:rPr>
          <w:rFonts w:ascii="Calibri" w:eastAsia="Calibri" w:hAnsi="Calibri" w:cs="Calibri"/>
          <w:i/>
        </w:rPr>
        <w:t xml:space="preserve"> </w:t>
      </w:r>
      <w:r w:rsidRPr="00E57F69">
        <w:rPr>
          <w:rFonts w:ascii="Calibri" w:eastAsia="Calibri" w:hAnsi="Calibri" w:cs="Calibri"/>
          <w:i/>
        </w:rPr>
        <w:t>5000</w:t>
      </w:r>
      <w:r w:rsidR="007B3530" w:rsidRPr="00E57F69">
        <w:rPr>
          <w:rFonts w:ascii="Calibri" w:eastAsia="Calibri" w:hAnsi="Calibri" w:cs="Calibri"/>
          <w:i/>
        </w:rPr>
        <w:t xml:space="preserve"> </w:t>
      </w:r>
      <w:r w:rsidRPr="00E57F69">
        <w:rPr>
          <w:rFonts w:ascii="Calibri" w:eastAsia="Calibri" w:hAnsi="Calibri" w:cs="Calibri"/>
          <w:i/>
        </w:rPr>
        <w:t>--splitter-coarse-region</w:t>
      </w:r>
      <w:r w:rsidR="007B3530" w:rsidRPr="00E57F69">
        <w:rPr>
          <w:rFonts w:ascii="Calibri" w:eastAsia="Calibri" w:hAnsi="Calibri" w:cs="Calibri"/>
          <w:i/>
        </w:rPr>
        <w:t xml:space="preserve"> </w:t>
      </w:r>
      <w:r w:rsidRPr="00E57F69">
        <w:rPr>
          <w:rFonts w:ascii="Calibri" w:eastAsia="Calibri" w:hAnsi="Calibri" w:cs="Calibri"/>
          <w:i/>
        </w:rPr>
        <w:t>300000</w:t>
      </w:r>
      <w:r w:rsidR="007B3530" w:rsidRPr="00E57F69">
        <w:rPr>
          <w:rFonts w:ascii="Calibri" w:eastAsia="Calibri" w:hAnsi="Calibri" w:cs="Calibri"/>
          <w:i/>
        </w:rPr>
        <w:t xml:space="preserve"> </w:t>
      </w:r>
      <w:r w:rsidRPr="00E57F69">
        <w:rPr>
          <w:rFonts w:ascii="Calibri" w:eastAsia="Calibri" w:hAnsi="Calibri" w:cs="Calibri"/>
          <w:i/>
        </w:rPr>
        <w:t>--sort-output</w:t>
      </w:r>
      <w:r w:rsidR="007B3530" w:rsidRPr="00E57F69">
        <w:rPr>
          <w:rFonts w:ascii="Calibri" w:eastAsia="Calibri" w:hAnsi="Calibri" w:cs="Calibri"/>
          <w:i/>
        </w:rPr>
        <w:t xml:space="preserve"> </w:t>
      </w:r>
      <w:r w:rsidRPr="00E57F69">
        <w:rPr>
          <w:rFonts w:ascii="Calibri" w:eastAsia="Calibri" w:hAnsi="Calibri" w:cs="Calibri"/>
          <w:i/>
        </w:rPr>
        <w:t>--build-gapped-map</w:t>
      </w:r>
      <w:r w:rsidR="007B3530" w:rsidRPr="00E57F69">
        <w:rPr>
          <w:rFonts w:ascii="Calibri" w:eastAsia="Calibri" w:hAnsi="Calibri" w:cs="Calibri"/>
          <w:i/>
        </w:rPr>
        <w:t xml:space="preserve"> </w:t>
      </w:r>
      <w:r w:rsidRPr="00E57F69">
        <w:rPr>
          <w:rFonts w:ascii="Calibri" w:eastAsia="Calibri" w:hAnsi="Calibri" w:cs="Calibri"/>
          <w:i/>
        </w:rPr>
        <w:t>-r 10</w:t>
      </w:r>
      <w:r w:rsidR="007B3530" w:rsidRPr="00E57F69">
        <w:rPr>
          <w:rFonts w:ascii="Calibri" w:eastAsia="Calibri" w:hAnsi="Calibri" w:cs="Calibri"/>
          <w:i/>
        </w:rPr>
        <w:t xml:space="preserve"> </w:t>
      </w:r>
      <w:r w:rsidRPr="00E57F69">
        <w:rPr>
          <w:rFonts w:ascii="Calibri" w:eastAsia="Calibri" w:hAnsi="Calibri" w:cs="Calibri"/>
          <w:i/>
        </w:rPr>
        <w:t>-i 5000</w:t>
      </w:r>
      <w:r>
        <w:t>.</w:t>
      </w:r>
    </w:p>
    <w:p w:rsidR="005963E4" w:rsidRDefault="00635330" w:rsidP="00A515E2">
      <w:pPr>
        <w:ind w:left="309" w:right="835"/>
      </w:pPr>
      <w:r>
        <w:t>Manual correction of obvious assembly and scaffolding errors was then carried out using J</w:t>
      </w:r>
      <w:r>
        <w:t>uicebox</w:t>
      </w:r>
      <w:r>
        <w:rPr>
          <w:vertAlign w:val="superscript"/>
        </w:rPr>
        <w:t>26</w:t>
      </w:r>
      <w:r>
        <w:t>.</w:t>
      </w:r>
    </w:p>
    <w:p w:rsidR="005963E4" w:rsidRDefault="00635330" w:rsidP="00A515E2">
      <w:pPr>
        <w:ind w:left="-15" w:right="835" w:firstLine="299"/>
      </w:pPr>
      <w:r>
        <w:t>After finalizing the scaffolding, Hi-C reads were reprocessed against the new assembly using the Juicer pipeline. This was done individually for each library as well as together for the pooled set of reads.</w:t>
      </w:r>
    </w:p>
    <w:p w:rsidR="005963E4" w:rsidRDefault="00635330" w:rsidP="00A515E2">
      <w:pPr>
        <w:spacing w:after="267"/>
        <w:ind w:left="309" w:right="835"/>
      </w:pPr>
      <w:r>
        <w:t>Data was extracted from the final read</w:t>
      </w:r>
      <w:r>
        <w:t xml:space="preserve"> matrices using the Juicer suite of tools for Hi-C data analysis.</w:t>
      </w:r>
    </w:p>
    <w:p w:rsidR="005963E4" w:rsidRDefault="00635330" w:rsidP="00A515E2">
      <w:pPr>
        <w:pStyle w:val="Heading2"/>
        <w:ind w:left="10" w:right="850"/>
        <w:jc w:val="both"/>
      </w:pPr>
      <w:r>
        <w:t>Identification of Hi-C domains</w:t>
      </w:r>
    </w:p>
    <w:p w:rsidR="005963E4" w:rsidRDefault="00635330" w:rsidP="00A515E2">
      <w:pPr>
        <w:ind w:left="-5" w:right="737"/>
      </w:pPr>
      <w:r>
        <w:t xml:space="preserve">Hi-C matrices were first converted to </w:t>
      </w:r>
      <w:r>
        <w:rPr>
          <w:i/>
        </w:rPr>
        <w:t xml:space="preserve">cool </w:t>
      </w:r>
      <w:r>
        <w:t>format using HiCExplorer</w:t>
      </w:r>
      <w:r>
        <w:rPr>
          <w:vertAlign w:val="superscript"/>
        </w:rPr>
        <w:t xml:space="preserve">1 </w:t>
      </w:r>
      <w:r>
        <w:t>“</w:t>
      </w:r>
      <w:r w:rsidRPr="00E57F69">
        <w:rPr>
          <w:rFonts w:ascii="Calibri" w:eastAsia="Calibri" w:hAnsi="Calibri" w:cs="Calibri"/>
          <w:i/>
        </w:rPr>
        <w:t>hicConvertFormat</w:t>
      </w:r>
      <w:r>
        <w:t xml:space="preserve">” with parameters </w:t>
      </w:r>
      <w:r w:rsidRPr="00E57F69">
        <w:rPr>
          <w:rFonts w:ascii="Calibri" w:eastAsia="Calibri" w:hAnsi="Calibri" w:cs="Calibri"/>
          <w:i/>
        </w:rPr>
        <w:t>--inputFormat hic --outputFormat h5</w:t>
      </w:r>
      <w:r>
        <w:rPr>
          <w:rFonts w:ascii="Calibri" w:eastAsia="Calibri" w:hAnsi="Calibri" w:cs="Calibri"/>
        </w:rPr>
        <w:t xml:space="preserve"> </w:t>
      </w:r>
      <w:r>
        <w:t>and default resolut</w:t>
      </w:r>
      <w:r>
        <w:t>ions. Subsequent HiCExplorer commands were carried out at 10 kb, 25 kb, and 50 kb resolutions; the 50-kb domains were used for subsequent analysis. Matrices were normalized using</w:t>
      </w:r>
    </w:p>
    <w:p w:rsidR="005963E4" w:rsidRDefault="00635330" w:rsidP="00A515E2">
      <w:pPr>
        <w:spacing w:after="266"/>
        <w:ind w:left="-5" w:right="835"/>
      </w:pPr>
      <w:r>
        <w:t>“</w:t>
      </w:r>
      <w:proofErr w:type="gramStart"/>
      <w:r w:rsidRPr="00E57F69">
        <w:rPr>
          <w:rFonts w:ascii="Calibri" w:eastAsia="Calibri" w:hAnsi="Calibri" w:cs="Calibri"/>
          <w:i/>
        </w:rPr>
        <w:t>hicNormalize</w:t>
      </w:r>
      <w:proofErr w:type="gramEnd"/>
      <w:r>
        <w:t xml:space="preserve">” with parameter </w:t>
      </w:r>
      <w:r w:rsidRPr="00E57F69">
        <w:rPr>
          <w:rFonts w:ascii="Calibri" w:eastAsia="Calibri" w:hAnsi="Calibri" w:cs="Calibri"/>
          <w:i/>
        </w:rPr>
        <w:t>--normalize smallest</w:t>
      </w:r>
      <w:r>
        <w:t xml:space="preserve">, and corrected using </w:t>
      </w:r>
      <w:r>
        <w:rPr>
          <w:rFonts w:ascii="Calibri" w:eastAsia="Calibri" w:hAnsi="Calibri" w:cs="Calibri"/>
        </w:rPr>
        <w:t>‘‘hic</w:t>
      </w:r>
      <w:r>
        <w:rPr>
          <w:rFonts w:ascii="Calibri" w:eastAsia="Calibri" w:hAnsi="Calibri" w:cs="Calibri"/>
        </w:rPr>
        <w:t>CorrectMatrix correct</w:t>
      </w:r>
      <w:r>
        <w:t xml:space="preserve">” with parameters </w:t>
      </w:r>
      <w:r w:rsidRPr="00E57F69">
        <w:rPr>
          <w:rFonts w:ascii="Calibri" w:eastAsia="Calibri" w:hAnsi="Calibri" w:cs="Calibri"/>
          <w:i/>
        </w:rPr>
        <w:t>--correctionMethodKR</w:t>
      </w:r>
      <w:r>
        <w:t>. Hi-C domains were computationally identified using the “</w:t>
      </w:r>
      <w:r>
        <w:rPr>
          <w:rFonts w:ascii="Calibri" w:eastAsia="Calibri" w:hAnsi="Calibri" w:cs="Calibri"/>
        </w:rPr>
        <w:t>hicFindTADs</w:t>
      </w:r>
      <w:r>
        <w:t xml:space="preserve">” from HiCExplorer with parameter </w:t>
      </w:r>
      <w:r w:rsidRPr="00E57F69">
        <w:rPr>
          <w:rFonts w:ascii="Calibri" w:eastAsia="Calibri" w:hAnsi="Calibri" w:cs="Calibri"/>
          <w:i/>
        </w:rPr>
        <w:t>--correctForMultipleTestingfdr</w:t>
      </w:r>
      <w:r>
        <w:t>. The domains derived from the 50-kb resolution analysis were us</w:t>
      </w:r>
      <w:r>
        <w:t>ed for subsequent analyses.</w:t>
      </w:r>
    </w:p>
    <w:p w:rsidR="005963E4" w:rsidRDefault="00635330" w:rsidP="00A515E2">
      <w:pPr>
        <w:pStyle w:val="Heading2"/>
        <w:ind w:left="10" w:right="850"/>
        <w:jc w:val="both"/>
      </w:pPr>
      <w:r>
        <w:t>RNA-seq experiments</w:t>
      </w:r>
    </w:p>
    <w:p w:rsidR="005963E4" w:rsidRDefault="00635330" w:rsidP="00A515E2">
      <w:pPr>
        <w:ind w:left="-5" w:right="835"/>
      </w:pPr>
      <w:r>
        <w:t>Total RNA was isolated following previously described protocols</w:t>
      </w:r>
      <w:r>
        <w:rPr>
          <w:vertAlign w:val="superscript"/>
        </w:rPr>
        <w:t>25</w:t>
      </w:r>
      <w:r>
        <w:t>.</w:t>
      </w:r>
    </w:p>
    <w:p w:rsidR="005963E4" w:rsidRDefault="00635330" w:rsidP="00A515E2">
      <w:pPr>
        <w:spacing w:after="269"/>
        <w:ind w:left="-15" w:right="835" w:firstLine="299"/>
      </w:pPr>
      <w:r>
        <w:t>RNA-seq libraries were generated after selection of polyadenylated RNA using the Nebnext Poly(A) mRNA Magnetic Isolation Module (NEB E7490) a</w:t>
      </w:r>
      <w:r>
        <w:t>nd using the NEBNext Ultra II Directional RNA Library Prep (NEB E7765), following manufacturer’s instructions.</w:t>
      </w:r>
    </w:p>
    <w:p w:rsidR="005963E4" w:rsidRDefault="00635330" w:rsidP="00A515E2">
      <w:pPr>
        <w:pStyle w:val="Heading2"/>
        <w:ind w:left="10" w:right="850"/>
        <w:jc w:val="both"/>
      </w:pPr>
      <w:r>
        <w:t>RNA-seq data analysis</w:t>
      </w:r>
    </w:p>
    <w:p w:rsidR="007B3530" w:rsidRDefault="00635330" w:rsidP="007B3530">
      <w:pPr>
        <w:ind w:left="-5" w:right="835"/>
      </w:pPr>
      <w:r>
        <w:t xml:space="preserve">For the analysis of unspliced transcripts, RNA-seq reads were aligned against the original </w:t>
      </w:r>
      <w:r>
        <w:rPr>
          <w:i/>
        </w:rPr>
        <w:t xml:space="preserve">B. minitum </w:t>
      </w:r>
      <w:r>
        <w:t>assembly and annotati</w:t>
      </w:r>
      <w:r>
        <w:t>on using the STAR aligner</w:t>
      </w:r>
      <w:r>
        <w:rPr>
          <w:vertAlign w:val="superscript"/>
        </w:rPr>
        <w:t xml:space="preserve">28 </w:t>
      </w:r>
      <w:r>
        <w:t xml:space="preserve">(version 2.5.3a) with the following settings: </w:t>
      </w:r>
      <w:r>
        <w:rPr>
          <w:rFonts w:ascii="Calibri" w:eastAsia="Calibri" w:hAnsi="Calibri" w:cs="Calibri"/>
        </w:rPr>
        <w:t xml:space="preserve">--limitSjdbInsertNsj 10000000 </w:t>
      </w:r>
      <w:r w:rsidR="007B3530">
        <w:rPr>
          <w:rFonts w:ascii="Calibri" w:eastAsia="Calibri" w:hAnsi="Calibri" w:cs="Calibri"/>
        </w:rPr>
        <w:t>–</w:t>
      </w:r>
      <w:r>
        <w:rPr>
          <w:rFonts w:ascii="Calibri" w:eastAsia="Calibri" w:hAnsi="Calibri" w:cs="Calibri"/>
        </w:rPr>
        <w:t>outFilterMultimapNmax</w:t>
      </w:r>
      <w:r w:rsidR="007B3530">
        <w:rPr>
          <w:rFonts w:ascii="Calibri" w:eastAsia="Calibri" w:hAnsi="Calibri" w:cs="Calibri"/>
        </w:rPr>
        <w:t xml:space="preserve"> </w:t>
      </w:r>
      <w:r>
        <w:rPr>
          <w:rFonts w:ascii="Calibri" w:eastAsia="Calibri" w:hAnsi="Calibri" w:cs="Calibri"/>
        </w:rPr>
        <w:t>50</w:t>
      </w:r>
      <w:r w:rsidR="007B3530">
        <w:rPr>
          <w:rFonts w:ascii="Calibri" w:eastAsia="Calibri" w:hAnsi="Calibri" w:cs="Calibri"/>
        </w:rPr>
        <w:t xml:space="preserve"> </w:t>
      </w:r>
      <w:r w:rsidR="007B3530">
        <w:t>–outFilterMismatchNmax —</w:t>
      </w:r>
      <w:r>
        <w:rPr>
          <w:rFonts w:ascii="Calibri" w:eastAsia="Calibri" w:hAnsi="Calibri" w:cs="Calibri"/>
        </w:rPr>
        <w:t>999</w:t>
      </w:r>
      <w:r w:rsidR="007B3530">
        <w:rPr>
          <w:rFonts w:ascii="Calibri" w:eastAsia="Calibri" w:hAnsi="Calibri" w:cs="Calibri"/>
        </w:rPr>
        <w:t xml:space="preserve"> –</w:t>
      </w:r>
      <w:r>
        <w:rPr>
          <w:rFonts w:ascii="Calibri" w:eastAsia="Calibri" w:hAnsi="Calibri" w:cs="Calibri"/>
        </w:rPr>
        <w:t>outFilterMismatchNoverReadLmax</w:t>
      </w:r>
      <w:r w:rsidR="007B3530" w:rsidRPr="00E57F69">
        <w:rPr>
          <w:rFonts w:ascii="Calibri" w:eastAsia="Calibri" w:hAnsi="Calibri" w:cs="Calibri"/>
          <w:i/>
        </w:rPr>
        <w:t xml:space="preserve"> </w:t>
      </w:r>
      <w:r w:rsidRPr="00E57F69">
        <w:rPr>
          <w:rFonts w:ascii="Calibri" w:eastAsia="Calibri" w:hAnsi="Calibri" w:cs="Calibri"/>
          <w:i/>
        </w:rPr>
        <w:t>0.04</w:t>
      </w:r>
      <w:r w:rsidR="007B3530" w:rsidRPr="00E57F69">
        <w:rPr>
          <w:rFonts w:ascii="Calibri" w:eastAsia="Calibri" w:hAnsi="Calibri" w:cs="Calibri"/>
          <w:i/>
        </w:rPr>
        <w:t xml:space="preserve"> –</w:t>
      </w:r>
      <w:r w:rsidRPr="00E57F69">
        <w:rPr>
          <w:rFonts w:ascii="Calibri" w:eastAsia="Calibri" w:hAnsi="Calibri" w:cs="Calibri"/>
          <w:i/>
        </w:rPr>
        <w:t>alignIntronMin</w:t>
      </w:r>
      <w:r w:rsidR="007B3530" w:rsidRPr="00E57F69">
        <w:rPr>
          <w:rFonts w:ascii="Calibri" w:eastAsia="Calibri" w:hAnsi="Calibri" w:cs="Calibri"/>
          <w:i/>
        </w:rPr>
        <w:t xml:space="preserve"> </w:t>
      </w:r>
      <w:r w:rsidRPr="00E57F69">
        <w:rPr>
          <w:rFonts w:ascii="Calibri" w:eastAsia="Calibri" w:hAnsi="Calibri" w:cs="Calibri"/>
          <w:i/>
        </w:rPr>
        <w:t>10</w:t>
      </w:r>
      <w:r w:rsidR="007B3530" w:rsidRPr="00E57F69">
        <w:rPr>
          <w:rFonts w:ascii="Calibri" w:eastAsia="Calibri" w:hAnsi="Calibri" w:cs="Calibri"/>
          <w:i/>
        </w:rPr>
        <w:t xml:space="preserve"> –</w:t>
      </w:r>
      <w:r w:rsidRPr="00E57F69">
        <w:rPr>
          <w:rFonts w:ascii="Calibri" w:eastAsia="Calibri" w:hAnsi="Calibri" w:cs="Calibri"/>
          <w:i/>
        </w:rPr>
        <w:t>alignIntronMax</w:t>
      </w:r>
      <w:r w:rsidR="007B3530" w:rsidRPr="00E57F69">
        <w:rPr>
          <w:rFonts w:ascii="Calibri" w:eastAsia="Calibri" w:hAnsi="Calibri" w:cs="Calibri"/>
          <w:i/>
        </w:rPr>
        <w:t xml:space="preserve"> </w:t>
      </w:r>
      <w:r w:rsidRPr="00E57F69">
        <w:rPr>
          <w:rFonts w:ascii="Calibri" w:eastAsia="Calibri" w:hAnsi="Calibri" w:cs="Calibri"/>
          <w:i/>
        </w:rPr>
        <w:t>1000000</w:t>
      </w:r>
      <w:r w:rsidR="007B3530" w:rsidRPr="00E57F69">
        <w:rPr>
          <w:rFonts w:ascii="Calibri" w:eastAsia="Calibri" w:hAnsi="Calibri" w:cs="Calibri"/>
          <w:i/>
        </w:rPr>
        <w:t xml:space="preserve"> –</w:t>
      </w:r>
      <w:r w:rsidRPr="00E57F69">
        <w:rPr>
          <w:rFonts w:ascii="Calibri" w:eastAsia="Calibri" w:hAnsi="Calibri" w:cs="Calibri"/>
          <w:i/>
        </w:rPr>
        <w:t>lignMatesGapMax</w:t>
      </w:r>
      <w:r w:rsidR="007B3530" w:rsidRPr="00E57F69">
        <w:rPr>
          <w:rFonts w:ascii="Calibri" w:eastAsia="Calibri" w:hAnsi="Calibri" w:cs="Calibri"/>
          <w:i/>
        </w:rPr>
        <w:t xml:space="preserve"> </w:t>
      </w:r>
      <w:r w:rsidRPr="00E57F69">
        <w:rPr>
          <w:rFonts w:ascii="Calibri" w:eastAsia="Calibri" w:hAnsi="Calibri" w:cs="Calibri"/>
          <w:i/>
        </w:rPr>
        <w:t>1000000</w:t>
      </w:r>
      <w:r w:rsidR="007B3530" w:rsidRPr="00E57F69">
        <w:rPr>
          <w:rFonts w:ascii="Calibri" w:eastAsia="Calibri" w:hAnsi="Calibri" w:cs="Calibri"/>
          <w:i/>
        </w:rPr>
        <w:t xml:space="preserve"> –</w:t>
      </w:r>
      <w:r w:rsidRPr="00E57F69">
        <w:rPr>
          <w:rFonts w:ascii="Calibri" w:eastAsia="Calibri" w:hAnsi="Calibri" w:cs="Calibri"/>
          <w:i/>
        </w:rPr>
        <w:t>alignSJoverhangMin</w:t>
      </w:r>
      <w:r w:rsidR="007B3530" w:rsidRPr="00E57F69">
        <w:rPr>
          <w:rFonts w:ascii="Calibri" w:eastAsia="Calibri" w:hAnsi="Calibri" w:cs="Calibri"/>
          <w:i/>
        </w:rPr>
        <w:t xml:space="preserve"> </w:t>
      </w:r>
      <w:r w:rsidRPr="00E57F69">
        <w:rPr>
          <w:rFonts w:ascii="Calibri" w:eastAsia="Calibri" w:hAnsi="Calibri" w:cs="Calibri"/>
          <w:i/>
        </w:rPr>
        <w:t>8</w:t>
      </w:r>
      <w:r w:rsidR="007B3530" w:rsidRPr="00E57F69">
        <w:rPr>
          <w:rFonts w:ascii="Calibri" w:eastAsia="Calibri" w:hAnsi="Calibri" w:cs="Calibri"/>
          <w:i/>
        </w:rPr>
        <w:t xml:space="preserve"> </w:t>
      </w:r>
      <w:r w:rsidRPr="00E57F69">
        <w:rPr>
          <w:rFonts w:ascii="Calibri" w:eastAsia="Calibri" w:hAnsi="Calibri" w:cs="Calibri"/>
          <w:i/>
        </w:rPr>
        <w:t xml:space="preserve">--alignSJDBoverhang 1 --sjdbScore 1 --twopassMode Basic </w:t>
      </w:r>
      <w:r w:rsidR="007B3530" w:rsidRPr="00E57F69">
        <w:rPr>
          <w:rFonts w:ascii="Calibri" w:eastAsia="Calibri" w:hAnsi="Calibri" w:cs="Calibri"/>
          <w:i/>
        </w:rPr>
        <w:t>–</w:t>
      </w:r>
      <w:r w:rsidRPr="00E57F69">
        <w:rPr>
          <w:rFonts w:ascii="Calibri" w:eastAsia="Calibri" w:hAnsi="Calibri" w:cs="Calibri"/>
          <w:i/>
        </w:rPr>
        <w:t>twopass</w:t>
      </w:r>
      <w:r w:rsidR="007B3530" w:rsidRPr="00E57F69">
        <w:rPr>
          <w:rFonts w:ascii="Calibri" w:eastAsia="Calibri" w:hAnsi="Calibri" w:cs="Calibri"/>
          <w:i/>
        </w:rPr>
        <w:t xml:space="preserve"> </w:t>
      </w:r>
      <w:r w:rsidRPr="00E57F69">
        <w:rPr>
          <w:rFonts w:ascii="Calibri" w:eastAsia="Calibri" w:hAnsi="Calibri" w:cs="Calibri"/>
          <w:i/>
        </w:rPr>
        <w:t>1</w:t>
      </w:r>
      <w:r w:rsidR="007B3530" w:rsidRPr="00E57F69">
        <w:rPr>
          <w:rFonts w:ascii="Calibri" w:eastAsia="Calibri" w:hAnsi="Calibri" w:cs="Calibri"/>
          <w:i/>
        </w:rPr>
        <w:t xml:space="preserve"> </w:t>
      </w:r>
      <w:r w:rsidRPr="00E57F69">
        <w:rPr>
          <w:rFonts w:ascii="Calibri" w:eastAsia="Calibri" w:hAnsi="Calibri" w:cs="Calibri"/>
          <w:i/>
        </w:rPr>
        <w:t>readsN -1</w:t>
      </w:r>
      <w:r>
        <w:t>. The fraction of intronic reads was estimated from the resulting BAM files.</w:t>
      </w:r>
      <w:r w:rsidR="007B3530">
        <w:t xml:space="preserve"> </w:t>
      </w:r>
    </w:p>
    <w:p w:rsidR="005963E4" w:rsidRDefault="00635330" w:rsidP="007B3530">
      <w:pPr>
        <w:ind w:left="-5" w:right="835"/>
      </w:pPr>
      <w:r>
        <w:lastRenderedPageBreak/>
        <w:t>For the purpose o</w:t>
      </w:r>
      <w:r>
        <w:t xml:space="preserve">f differential expression analysis, reads were aligned </w:t>
      </w:r>
      <w:r w:rsidR="007B3530">
        <w:t>in</w:t>
      </w:r>
      <w:r>
        <w:t xml:space="preserve"> transcriptome space using Bowtie</w:t>
      </w:r>
      <w:r>
        <w:rPr>
          <w:vertAlign w:val="superscript"/>
        </w:rPr>
        <w:t xml:space="preserve">29 </w:t>
      </w:r>
      <w:r>
        <w:t xml:space="preserve">(version 1.0.1) with the following settings: </w:t>
      </w:r>
      <w:r w:rsidRPr="00E57F69">
        <w:rPr>
          <w:rFonts w:ascii="Calibri" w:eastAsia="Calibri" w:hAnsi="Calibri" w:cs="Calibri"/>
          <w:i/>
        </w:rPr>
        <w:t>-e200</w:t>
      </w:r>
      <w:r w:rsidR="00E57F69" w:rsidRPr="00E57F69">
        <w:rPr>
          <w:rFonts w:ascii="Calibri" w:eastAsia="Calibri" w:hAnsi="Calibri" w:cs="Calibri"/>
          <w:i/>
        </w:rPr>
        <w:t xml:space="preserve"> </w:t>
      </w:r>
      <w:r w:rsidR="00E57F69">
        <w:rPr>
          <w:rFonts w:ascii="Calibri" w:eastAsia="Calibri" w:hAnsi="Calibri" w:cs="Calibri"/>
          <w:i/>
        </w:rPr>
        <w:t>–</w:t>
      </w:r>
      <w:r w:rsidRPr="00E57F69">
        <w:rPr>
          <w:rFonts w:ascii="Calibri" w:eastAsia="Calibri" w:hAnsi="Calibri" w:cs="Calibri"/>
          <w:i/>
        </w:rPr>
        <w:t>a</w:t>
      </w:r>
      <w:r w:rsidR="00E57F69">
        <w:rPr>
          <w:rFonts w:ascii="Calibri" w:eastAsia="Calibri" w:hAnsi="Calibri" w:cs="Calibri"/>
          <w:i/>
        </w:rPr>
        <w:t>,</w:t>
      </w:r>
      <w:r>
        <w:rPr>
          <w:rFonts w:ascii="Calibri" w:eastAsia="Calibri" w:hAnsi="Calibri" w:cs="Calibri"/>
        </w:rPr>
        <w:t xml:space="preserve"> </w:t>
      </w:r>
      <w:r>
        <w:t>and quantified using eXpress</w:t>
      </w:r>
      <w:r>
        <w:rPr>
          <w:vertAlign w:val="superscript"/>
        </w:rPr>
        <w:t xml:space="preserve">30 </w:t>
      </w:r>
      <w:r>
        <w:t>(version 1.5.1). The resulting effective counts were used as input to D</w:t>
      </w:r>
      <w:r>
        <w:t>ESeq2</w:t>
      </w:r>
      <w:r>
        <w:rPr>
          <w:vertAlign w:val="superscript"/>
        </w:rPr>
        <w:t xml:space="preserve">31 </w:t>
      </w:r>
      <w:r>
        <w:t xml:space="preserve">for differential expression analysis. An adjusted </w:t>
      </w:r>
      <w:r>
        <w:rPr>
          <w:i/>
        </w:rPr>
        <w:t>p</w:t>
      </w:r>
      <w:r>
        <w:t>-value threshold of 0.05 was used to derive lists of significantly differential genes.</w:t>
      </w:r>
    </w:p>
    <w:p w:rsidR="00E57F69" w:rsidRDefault="00E57F69" w:rsidP="007B3530">
      <w:pPr>
        <w:ind w:left="-5" w:right="835"/>
      </w:pPr>
    </w:p>
    <w:p w:rsidR="005963E4" w:rsidRDefault="00635330" w:rsidP="00A515E2">
      <w:pPr>
        <w:pStyle w:val="Heading2"/>
        <w:ind w:left="10" w:right="850"/>
        <w:jc w:val="both"/>
      </w:pPr>
      <w:r>
        <w:t>External RNA-seq datasets</w:t>
      </w:r>
    </w:p>
    <w:p w:rsidR="005963E4" w:rsidRDefault="00635330" w:rsidP="00A515E2">
      <w:pPr>
        <w:spacing w:after="268"/>
        <w:ind w:left="-5" w:right="835"/>
      </w:pPr>
      <w:r>
        <w:t xml:space="preserve">Approximately 5 </w:t>
      </w:r>
      <w:r>
        <w:t xml:space="preserve">× </w:t>
      </w:r>
      <w:r>
        <w:t>10</w:t>
      </w:r>
      <w:r>
        <w:rPr>
          <w:vertAlign w:val="superscript"/>
        </w:rPr>
        <w:t xml:space="preserve">7 </w:t>
      </w:r>
      <w:r>
        <w:t xml:space="preserve">cells were collected by centrifugation at 100 </w:t>
      </w:r>
      <w:r>
        <w:rPr>
          <w:i/>
        </w:rPr>
        <w:t xml:space="preserve">g </w:t>
      </w:r>
      <w:r>
        <w:t>for 5 minutes at room temperature. Total RNA was extracted and libraries were constructed for RNA-Seq using the TruSeq RNA Library Prep Kit V2 (Illumina, San Diego, CA, USA) according to the manufacturer protocol. All of the raw sequencing reads are availa</w:t>
      </w:r>
      <w:r>
        <w:t>ble at Sequence Read Archive (SRA) with accession number SRX7258938.</w:t>
      </w:r>
    </w:p>
    <w:p w:rsidR="005963E4" w:rsidRDefault="00635330" w:rsidP="00A515E2">
      <w:pPr>
        <w:pStyle w:val="Heading2"/>
        <w:ind w:left="10" w:right="850"/>
        <w:jc w:val="both"/>
      </w:pPr>
      <w:r>
        <w:t>External RNA-seq data analysis</w:t>
      </w:r>
    </w:p>
    <w:p w:rsidR="005963E4" w:rsidRDefault="00635330" w:rsidP="00E57F69">
      <w:pPr>
        <w:ind w:left="-5" w:right="835"/>
      </w:pPr>
      <w:r>
        <w:t>RNA-seq reads were aligned against the corresponding assemblies using the STAR aligner</w:t>
      </w:r>
      <w:r>
        <w:rPr>
          <w:vertAlign w:val="superscript"/>
        </w:rPr>
        <w:t xml:space="preserve">28 </w:t>
      </w:r>
      <w:r>
        <w:t xml:space="preserve">(version 2.5.3a) with the following settings: </w:t>
      </w:r>
      <w:r w:rsidRPr="00E57F69">
        <w:rPr>
          <w:rFonts w:ascii="Calibri" w:eastAsia="Calibri" w:hAnsi="Calibri" w:cs="Calibri"/>
          <w:i/>
        </w:rPr>
        <w:t xml:space="preserve">--limitSjdbInsertNsj </w:t>
      </w:r>
      <w:r w:rsidRPr="00E57F69">
        <w:rPr>
          <w:rFonts w:ascii="Calibri" w:eastAsia="Calibri" w:hAnsi="Calibri" w:cs="Calibri"/>
          <w:i/>
        </w:rPr>
        <w:t>10000000 --outFilterMultimapNmax 50</w:t>
      </w:r>
      <w:r w:rsidR="00E57F69" w:rsidRPr="00E57F69">
        <w:rPr>
          <w:rFonts w:ascii="Calibri" w:eastAsia="Calibri" w:hAnsi="Calibri" w:cs="Calibri"/>
          <w:i/>
        </w:rPr>
        <w:t xml:space="preserve"> </w:t>
      </w:r>
      <w:r w:rsidRPr="00E57F69">
        <w:rPr>
          <w:i/>
        </w:rPr>
        <w:t>–outFilterMismatchNmax</w:t>
      </w:r>
      <w:r w:rsidR="00E57F69" w:rsidRPr="00E57F69">
        <w:rPr>
          <w:i/>
        </w:rPr>
        <w:t xml:space="preserve"> –</w:t>
      </w:r>
      <w:r w:rsidRPr="00E57F69">
        <w:rPr>
          <w:rFonts w:ascii="Calibri" w:eastAsia="Calibri" w:hAnsi="Calibri" w:cs="Calibri"/>
          <w:i/>
        </w:rPr>
        <w:t>999</w:t>
      </w:r>
      <w:r w:rsidR="00E57F69" w:rsidRPr="00E57F69">
        <w:rPr>
          <w:rFonts w:ascii="Calibri" w:eastAsia="Calibri" w:hAnsi="Calibri" w:cs="Calibri"/>
          <w:i/>
        </w:rPr>
        <w:t xml:space="preserve"> </w:t>
      </w:r>
      <w:r w:rsidRPr="00E57F69">
        <w:rPr>
          <w:rFonts w:ascii="Calibri" w:eastAsia="Calibri" w:hAnsi="Calibri" w:cs="Calibri"/>
          <w:i/>
        </w:rPr>
        <w:t>--outFilterMismatchNoverReadLmax0.04</w:t>
      </w:r>
      <w:r w:rsidR="00E57F69" w:rsidRPr="00E57F69">
        <w:rPr>
          <w:rFonts w:ascii="Calibri" w:eastAsia="Calibri" w:hAnsi="Calibri" w:cs="Calibri"/>
          <w:i/>
        </w:rPr>
        <w:t xml:space="preserve"> –</w:t>
      </w:r>
      <w:r w:rsidRPr="00E57F69">
        <w:rPr>
          <w:rFonts w:ascii="Calibri" w:eastAsia="Calibri" w:hAnsi="Calibri" w:cs="Calibri"/>
          <w:i/>
        </w:rPr>
        <w:t>alignIntronMin</w:t>
      </w:r>
      <w:r w:rsidR="00E57F69" w:rsidRPr="00E57F69">
        <w:rPr>
          <w:rFonts w:ascii="Calibri" w:eastAsia="Calibri" w:hAnsi="Calibri" w:cs="Calibri"/>
          <w:i/>
        </w:rPr>
        <w:t xml:space="preserve"> </w:t>
      </w:r>
      <w:r w:rsidRPr="00E57F69">
        <w:rPr>
          <w:rFonts w:ascii="Calibri" w:eastAsia="Calibri" w:hAnsi="Calibri" w:cs="Calibri"/>
          <w:i/>
        </w:rPr>
        <w:t>10</w:t>
      </w:r>
      <w:r w:rsidR="00E57F69" w:rsidRPr="00E57F69">
        <w:rPr>
          <w:rFonts w:ascii="Calibri" w:eastAsia="Calibri" w:hAnsi="Calibri" w:cs="Calibri"/>
          <w:i/>
        </w:rPr>
        <w:t xml:space="preserve"> –</w:t>
      </w:r>
      <w:r w:rsidRPr="00E57F69">
        <w:rPr>
          <w:rFonts w:ascii="Calibri" w:eastAsia="Calibri" w:hAnsi="Calibri" w:cs="Calibri"/>
          <w:i/>
        </w:rPr>
        <w:t>alignIntronMax</w:t>
      </w:r>
      <w:r w:rsidR="00E57F69" w:rsidRPr="00E57F69">
        <w:rPr>
          <w:rFonts w:ascii="Calibri" w:eastAsia="Calibri" w:hAnsi="Calibri" w:cs="Calibri"/>
          <w:i/>
        </w:rPr>
        <w:t xml:space="preserve"> </w:t>
      </w:r>
      <w:r w:rsidRPr="00E57F69">
        <w:rPr>
          <w:rFonts w:ascii="Calibri" w:eastAsia="Calibri" w:hAnsi="Calibri" w:cs="Calibri"/>
          <w:i/>
        </w:rPr>
        <w:t>1000000</w:t>
      </w:r>
      <w:r w:rsidR="00E57F69" w:rsidRPr="00E57F69">
        <w:rPr>
          <w:rFonts w:ascii="Calibri" w:eastAsia="Calibri" w:hAnsi="Calibri" w:cs="Calibri"/>
          <w:i/>
        </w:rPr>
        <w:t xml:space="preserve"> –</w:t>
      </w:r>
      <w:r w:rsidRPr="00E57F69">
        <w:rPr>
          <w:rFonts w:ascii="Calibri" w:eastAsia="Calibri" w:hAnsi="Calibri" w:cs="Calibri"/>
          <w:i/>
        </w:rPr>
        <w:t>alignMatesGapMax</w:t>
      </w:r>
      <w:r w:rsidR="00E57F69" w:rsidRPr="00E57F69">
        <w:rPr>
          <w:rFonts w:ascii="Calibri" w:eastAsia="Calibri" w:hAnsi="Calibri" w:cs="Calibri"/>
          <w:i/>
        </w:rPr>
        <w:t xml:space="preserve"> </w:t>
      </w:r>
      <w:r w:rsidRPr="00E57F69">
        <w:rPr>
          <w:rFonts w:ascii="Calibri" w:eastAsia="Calibri" w:hAnsi="Calibri" w:cs="Calibri"/>
          <w:i/>
        </w:rPr>
        <w:t>1000000</w:t>
      </w:r>
      <w:r w:rsidR="00E57F69" w:rsidRPr="00E57F69">
        <w:rPr>
          <w:rFonts w:ascii="Calibri" w:eastAsia="Calibri" w:hAnsi="Calibri" w:cs="Calibri"/>
          <w:i/>
        </w:rPr>
        <w:t xml:space="preserve"> –</w:t>
      </w:r>
      <w:r w:rsidRPr="00E57F69">
        <w:rPr>
          <w:rFonts w:ascii="Calibri" w:eastAsia="Calibri" w:hAnsi="Calibri" w:cs="Calibri"/>
          <w:i/>
        </w:rPr>
        <w:t>alignSJ</w:t>
      </w:r>
      <w:r w:rsidR="00E57F69" w:rsidRPr="00E57F69">
        <w:rPr>
          <w:rFonts w:ascii="Calibri" w:eastAsia="Calibri" w:hAnsi="Calibri" w:cs="Calibri"/>
          <w:i/>
        </w:rPr>
        <w:t xml:space="preserve">overhangMin 8 —alignSJDBoverhang </w:t>
      </w:r>
      <w:r w:rsidRPr="00E57F69">
        <w:rPr>
          <w:rFonts w:ascii="Calibri" w:eastAsia="Calibri" w:hAnsi="Calibri" w:cs="Calibri"/>
          <w:i/>
        </w:rPr>
        <w:t>1</w:t>
      </w:r>
      <w:r w:rsidR="00E57F69" w:rsidRPr="00E57F69">
        <w:rPr>
          <w:rFonts w:ascii="Calibri" w:eastAsia="Calibri" w:hAnsi="Calibri" w:cs="Calibri"/>
          <w:i/>
        </w:rPr>
        <w:t xml:space="preserve"> –</w:t>
      </w:r>
      <w:r w:rsidRPr="00E57F69">
        <w:rPr>
          <w:rFonts w:ascii="Calibri" w:eastAsia="Calibri" w:hAnsi="Calibri" w:cs="Calibri"/>
          <w:i/>
        </w:rPr>
        <w:t>sjdbScore</w:t>
      </w:r>
      <w:r w:rsidR="00E57F69" w:rsidRPr="00E57F69">
        <w:rPr>
          <w:rFonts w:ascii="Calibri" w:eastAsia="Calibri" w:hAnsi="Calibri" w:cs="Calibri"/>
          <w:i/>
        </w:rPr>
        <w:t xml:space="preserve"> </w:t>
      </w:r>
      <w:r w:rsidRPr="00E57F69">
        <w:rPr>
          <w:rFonts w:ascii="Calibri" w:eastAsia="Calibri" w:hAnsi="Calibri" w:cs="Calibri"/>
          <w:i/>
        </w:rPr>
        <w:t>1</w:t>
      </w:r>
      <w:r w:rsidR="00E57F69" w:rsidRPr="00E57F69">
        <w:rPr>
          <w:rFonts w:ascii="Calibri" w:eastAsia="Calibri" w:hAnsi="Calibri" w:cs="Calibri"/>
          <w:i/>
        </w:rPr>
        <w:t xml:space="preserve"> –</w:t>
      </w:r>
      <w:r w:rsidRPr="00E57F69">
        <w:rPr>
          <w:rFonts w:ascii="Calibri" w:eastAsia="Calibri" w:hAnsi="Calibri" w:cs="Calibri"/>
          <w:i/>
        </w:rPr>
        <w:t>twopassModeBasic</w:t>
      </w:r>
      <w:r w:rsidR="00E57F69" w:rsidRPr="00E57F69">
        <w:rPr>
          <w:rFonts w:ascii="Calibri" w:eastAsia="Calibri" w:hAnsi="Calibri" w:cs="Calibri"/>
          <w:i/>
        </w:rPr>
        <w:t xml:space="preserve"> –</w:t>
      </w:r>
      <w:r w:rsidRPr="00E57F69">
        <w:rPr>
          <w:rFonts w:ascii="Calibri" w:eastAsia="Calibri" w:hAnsi="Calibri" w:cs="Calibri"/>
          <w:i/>
        </w:rPr>
        <w:t>twopass</w:t>
      </w:r>
      <w:r w:rsidR="00E57F69" w:rsidRPr="00E57F69">
        <w:rPr>
          <w:rFonts w:ascii="Calibri" w:eastAsia="Calibri" w:hAnsi="Calibri" w:cs="Calibri"/>
          <w:i/>
        </w:rPr>
        <w:t xml:space="preserve"> </w:t>
      </w:r>
      <w:r w:rsidRPr="00E57F69">
        <w:rPr>
          <w:rFonts w:ascii="Calibri" w:eastAsia="Calibri" w:hAnsi="Calibri" w:cs="Calibri"/>
          <w:i/>
        </w:rPr>
        <w:t>1</w:t>
      </w:r>
      <w:r w:rsidR="00E57F69" w:rsidRPr="00E57F69">
        <w:rPr>
          <w:rFonts w:ascii="Calibri" w:eastAsia="Calibri" w:hAnsi="Calibri" w:cs="Calibri"/>
          <w:i/>
        </w:rPr>
        <w:t xml:space="preserve"> </w:t>
      </w:r>
      <w:r w:rsidRPr="00E57F69">
        <w:rPr>
          <w:rFonts w:ascii="Calibri" w:eastAsia="Calibri" w:hAnsi="Calibri" w:cs="Calibri"/>
          <w:i/>
        </w:rPr>
        <w:t>re</w:t>
      </w:r>
      <w:r w:rsidRPr="00E57F69">
        <w:rPr>
          <w:rFonts w:ascii="Calibri" w:eastAsia="Calibri" w:hAnsi="Calibri" w:cs="Calibri"/>
          <w:i/>
        </w:rPr>
        <w:t>adsN</w:t>
      </w:r>
      <w:r w:rsidR="00E57F69" w:rsidRPr="00E57F69">
        <w:rPr>
          <w:rFonts w:ascii="Calibri" w:eastAsia="Calibri" w:hAnsi="Calibri" w:cs="Calibri"/>
          <w:i/>
        </w:rPr>
        <w:t xml:space="preserve"> </w:t>
      </w:r>
      <w:r w:rsidRPr="00E57F69">
        <w:rPr>
          <w:rFonts w:ascii="Calibri" w:eastAsia="Calibri" w:hAnsi="Calibri" w:cs="Calibri"/>
          <w:i/>
        </w:rPr>
        <w:t>-1</w:t>
      </w:r>
      <w:r>
        <w:t xml:space="preserve">. As available RNA-seq datasets for </w:t>
      </w:r>
      <w:r>
        <w:rPr>
          <w:i/>
        </w:rPr>
        <w:t xml:space="preserve">B. minutum </w:t>
      </w:r>
      <w:r>
        <w:t xml:space="preserve">are not strand-specific, the strand orientation of the transcriptome was visualized as follows. Aligned reads were first </w:t>
      </w:r>
      <w:r>
        <w:rPr>
          <w:i/>
        </w:rPr>
        <w:t xml:space="preserve">de novo </w:t>
      </w:r>
      <w:r>
        <w:t>assembled into transcripts and quantified at the transcript level using St</w:t>
      </w:r>
      <w:r>
        <w:t>ringtie</w:t>
      </w:r>
      <w:r>
        <w:rPr>
          <w:vertAlign w:val="superscript"/>
        </w:rPr>
        <w:t xml:space="preserve">32 </w:t>
      </w:r>
      <w:r>
        <w:t>(version 1.3.3.b); the orientation of splice junctions serves as a reliable guide for the directionality of these transcripts. Open reading frames (ORFs) were identified for each transcript, and transcripts with ORFs shorter than 60 amino acids w</w:t>
      </w:r>
      <w:r>
        <w:t xml:space="preserve">ere filtered out of the transcript set. Strand-specific genomic tracks were then generated by assigning to each basepair covered by at least one exon in that set the sum of the TPM (Transcript </w:t>
      </w:r>
      <w:proofErr w:type="gramStart"/>
      <w:r>
        <w:t>Per</w:t>
      </w:r>
      <w:proofErr w:type="gramEnd"/>
      <w:r>
        <w:t xml:space="preserve"> Million transcripts) values of all transcripts it is includ</w:t>
      </w:r>
      <w:r>
        <w:t>ed in.</w:t>
      </w:r>
    </w:p>
    <w:p w:rsidR="00D042FD" w:rsidRDefault="00D042FD" w:rsidP="00E57F69">
      <w:pPr>
        <w:ind w:left="-5" w:right="835"/>
      </w:pPr>
    </w:p>
    <w:p w:rsidR="005963E4" w:rsidRDefault="00635330" w:rsidP="00A515E2">
      <w:pPr>
        <w:pStyle w:val="Heading2"/>
        <w:ind w:left="10" w:right="850"/>
        <w:jc w:val="both"/>
      </w:pPr>
      <w:r>
        <w:t>External Hi-C datasets</w:t>
      </w:r>
    </w:p>
    <w:p w:rsidR="005963E4" w:rsidRDefault="00635330" w:rsidP="00A515E2">
      <w:pPr>
        <w:ind w:left="-5" w:right="835"/>
      </w:pPr>
      <w:r>
        <w:t xml:space="preserve">Hi-C data for </w:t>
      </w:r>
      <w:r>
        <w:rPr>
          <w:i/>
        </w:rPr>
        <w:t xml:space="preserve">Trypanosoma brucei </w:t>
      </w:r>
      <w:r>
        <w:t>was obtained from GEO accession GSE118764.</w:t>
      </w:r>
    </w:p>
    <w:p w:rsidR="005963E4" w:rsidRDefault="00635330" w:rsidP="00A515E2">
      <w:pPr>
        <w:ind w:left="309" w:right="835"/>
      </w:pPr>
      <w:r>
        <w:t xml:space="preserve">Hi-C data for </w:t>
      </w:r>
      <w:r>
        <w:rPr>
          <w:i/>
        </w:rPr>
        <w:t xml:space="preserve">Schizosaccharomyces pombe </w:t>
      </w:r>
      <w:r>
        <w:t>was obtained from GEO accession GSE57316.</w:t>
      </w:r>
    </w:p>
    <w:p w:rsidR="005963E4" w:rsidRDefault="00635330" w:rsidP="00A515E2">
      <w:pPr>
        <w:spacing w:after="277"/>
        <w:ind w:left="309" w:right="835"/>
      </w:pPr>
      <w:r>
        <w:t xml:space="preserve">Hi-C data for </w:t>
      </w:r>
      <w:r>
        <w:rPr>
          <w:i/>
        </w:rPr>
        <w:t xml:space="preserve">Caulobacter vibrioides </w:t>
      </w:r>
      <w:r>
        <w:t>CB15 was obtained from GEO acce</w:t>
      </w:r>
      <w:r>
        <w:t>ssion GSE45966.</w:t>
      </w:r>
    </w:p>
    <w:p w:rsidR="005963E4" w:rsidRDefault="00635330" w:rsidP="00A515E2">
      <w:pPr>
        <w:pStyle w:val="Heading2"/>
        <w:spacing w:after="114"/>
        <w:ind w:left="10" w:right="850"/>
        <w:jc w:val="both"/>
      </w:pPr>
      <w:r>
        <w:t>Sequence Analysis</w:t>
      </w:r>
    </w:p>
    <w:p w:rsidR="005963E4" w:rsidRDefault="00635330" w:rsidP="00A515E2">
      <w:pPr>
        <w:ind w:left="-5" w:right="835"/>
      </w:pPr>
      <w:r>
        <w:t xml:space="preserve">Topoisomerase and other replication-related proteins were identified in annotated MMETSP transcriptome assemblies using </w:t>
      </w:r>
      <w:bookmarkStart w:id="0" w:name="_GoBack"/>
      <w:bookmarkEnd w:id="0"/>
      <w:r>
        <w:t>HMMER3.0</w:t>
      </w:r>
      <w:r>
        <w:rPr>
          <w:vertAlign w:val="superscript"/>
        </w:rPr>
        <w:t xml:space="preserve">33 </w:t>
      </w:r>
      <w:r>
        <w:t>and the Pfam 27.0 protein domain database</w:t>
      </w:r>
      <w:r>
        <w:rPr>
          <w:vertAlign w:val="superscript"/>
        </w:rPr>
        <w:t xml:space="preserve">34 </w:t>
      </w:r>
      <w:r>
        <w:t>as previously described</w:t>
      </w:r>
      <w:r>
        <w:rPr>
          <w:vertAlign w:val="superscript"/>
        </w:rPr>
        <w:t>7</w:t>
      </w:r>
      <w:r>
        <w:t>.</w:t>
      </w:r>
    </w:p>
    <w:p w:rsidR="005963E4" w:rsidRDefault="005963E4" w:rsidP="00A515E2">
      <w:pPr>
        <w:ind w:left="0" w:firstLine="0"/>
        <w:sectPr w:rsidR="005963E4">
          <w:headerReference w:type="even" r:id="rId8"/>
          <w:headerReference w:type="default" r:id="rId9"/>
          <w:footerReference w:type="even" r:id="rId10"/>
          <w:footerReference w:type="default" r:id="rId11"/>
          <w:headerReference w:type="first" r:id="rId12"/>
          <w:footerReference w:type="first" r:id="rId13"/>
          <w:pgSz w:w="12240" w:h="15840"/>
          <w:pgMar w:top="1134" w:right="0" w:bottom="1107" w:left="850" w:header="720" w:footer="497" w:gutter="0"/>
          <w:cols w:space="720"/>
        </w:sectPr>
      </w:pPr>
    </w:p>
    <w:p w:rsidR="00A515E2" w:rsidRDefault="00A515E2" w:rsidP="00A515E2">
      <w:pPr>
        <w:spacing w:after="417"/>
        <w:ind w:left="-5" w:right="835"/>
      </w:pPr>
      <w:r>
        <w:rPr>
          <w:b/>
        </w:rPr>
        <w:lastRenderedPageBreak/>
        <w:t xml:space="preserve">Figure 1: </w:t>
      </w:r>
      <w:r>
        <w:rPr>
          <w:rFonts w:ascii="Calibri" w:eastAsia="Calibri" w:hAnsi="Calibri" w:cs="Calibri"/>
          <w:i/>
        </w:rPr>
        <w:t xml:space="preserve">B. minutum </w:t>
      </w:r>
      <w:r>
        <w:rPr>
          <w:b/>
        </w:rPr>
        <w:t>genome is physically partitioned into dinoTADs defined by tandem gene arrays</w:t>
      </w:r>
      <w:r>
        <w:t xml:space="preserve">. (A) Hi-C scaffolding of the </w:t>
      </w:r>
      <w:r>
        <w:rPr>
          <w:i/>
        </w:rPr>
        <w:t xml:space="preserve">B. minutum </w:t>
      </w:r>
      <w:r>
        <w:t xml:space="preserve">draft genome assembly. (B) Inset from (A). KR-normalized 5-kb resolution Hi-C map for pseudochromosome 10. (C) Inset from (B). Hi-C loops and stripes are not observed in dinoTADs (dotted circle notes where a loop would be). (D) Scaling of chromosome size with dinoTAD number. (E) Comparison of human and </w:t>
      </w:r>
      <w:r>
        <w:rPr>
          <w:i/>
        </w:rPr>
        <w:t xml:space="preserve">B. minutum </w:t>
      </w:r>
      <w:r>
        <w:t>topological domain sizes. (F) Hi-C map (5-kb resolution) for pseudochromosome 10 together with forward- and reverse-strand transcript levels and gene arrays. (G) Average Hi-C contacts across dinoTAD boundaries (dinoTADs were called at a 50-kb resolution using HiCExplorer</w:t>
      </w:r>
      <w:r>
        <w:rPr>
          <w:vertAlign w:val="superscript"/>
        </w:rPr>
        <w:t>1</w:t>
      </w:r>
      <w:r>
        <w:t>; see the Supplementary Methods for details). (H) Average forward- and reverse-strand RNA-seq levels across dinoTAD boundaries.</w:t>
      </w:r>
    </w:p>
    <w:p w:rsidR="00A515E2" w:rsidRDefault="00A515E2" w:rsidP="00A515E2">
      <w:pPr>
        <w:spacing w:after="618"/>
        <w:ind w:left="-5" w:right="835"/>
      </w:pPr>
      <w:r>
        <w:rPr>
          <w:b/>
        </w:rPr>
        <w:t>Figure 2: Decompaction of dinoTADs upon application of transcriptional inhibitors and the transcriptioninduced supercoiling model for their formation</w:t>
      </w:r>
      <w:r>
        <w:t xml:space="preserve">. Shown is pseudochromosome 10 as in Fig. 1. (A-B) Outline of transcription inhibition time course experiments. (C) Comparison of cell function, measured by PSII photosythetic efficiency, and cell viability, measured by colony formation (right), between </w:t>
      </w:r>
      <w:r>
        <w:rPr>
          <w:i/>
        </w:rPr>
        <w:t>α</w:t>
      </w:r>
      <w:r>
        <w:t xml:space="preserve">-amanitin-treated and untreated cells. (D) KR-normalized Hi-C maps (50-kb resolution) show marked loss of dinoTADs after </w:t>
      </w:r>
      <w:r>
        <w:rPr>
          <w:i/>
        </w:rPr>
        <w:t>α</w:t>
      </w:r>
      <w:r>
        <w:t xml:space="preserve">-amanitin treatment. (E) Hi-C maps show reduction of insulation at dinoTAD boundaries after triptolide treatment. (F) Metaplots of Hi-C signal around domain boundaries (50-kb resolution). (G) Amplification of </w:t>
      </w:r>
      <w:r>
        <w:rPr>
          <w:i/>
        </w:rPr>
        <w:t xml:space="preserve">TOP2 </w:t>
      </w:r>
      <w:r>
        <w:t xml:space="preserve">and </w:t>
      </w:r>
      <w:r>
        <w:rPr>
          <w:i/>
        </w:rPr>
        <w:t xml:space="preserve">TOP3 </w:t>
      </w:r>
      <w:r>
        <w:t>topoisomerases in dinoflagellates (based on MMETSP</w:t>
      </w:r>
      <w:r>
        <w:rPr>
          <w:vertAlign w:val="superscript"/>
        </w:rPr>
        <w:t xml:space="preserve">10 </w:t>
      </w:r>
      <w:r>
        <w:t>transcriptome assemblies). (H) Transcription-induced supercoiling as driver of dinoflagellate chromatin folding. Transcribing polymerases introduce negative/positive DNA supercoiling behind/ahead of the transcription machinery. Interactions within supercoiled domains could explain the physical association of divergently-oriented arrays. Topological insulation could be driven by supercoiling-related effects, or by specific boundary elements.</w:t>
      </w:r>
    </w:p>
    <w:p w:rsidR="005963E4" w:rsidRDefault="005963E4" w:rsidP="00A515E2">
      <w:pPr>
        <w:spacing w:after="140" w:line="259" w:lineRule="auto"/>
        <w:ind w:left="0" w:right="0" w:firstLine="0"/>
      </w:pPr>
    </w:p>
    <w:sectPr w:rsidR="005963E4" w:rsidSect="009C0E39">
      <w:headerReference w:type="even" r:id="rId14"/>
      <w:headerReference w:type="default" r:id="rId15"/>
      <w:footerReference w:type="even" r:id="rId16"/>
      <w:footerReference w:type="default" r:id="rId17"/>
      <w:headerReference w:type="first" r:id="rId18"/>
      <w:footerReference w:type="first" r:id="rId19"/>
      <w:pgSz w:w="12240" w:h="15840"/>
      <w:pgMar w:top="1134" w:right="780" w:bottom="1266" w:left="921" w:header="720" w:footer="4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330" w:rsidRDefault="00635330">
      <w:pPr>
        <w:spacing w:after="0" w:line="240" w:lineRule="auto"/>
      </w:pPr>
      <w:r>
        <w:separator/>
      </w:r>
    </w:p>
  </w:endnote>
  <w:endnote w:type="continuationSeparator" w:id="0">
    <w:p w:rsidR="00635330" w:rsidRDefault="0063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firstLine="0"/>
      <w:jc w:val="center"/>
    </w:pPr>
    <w:r>
      <w:fldChar w:fldCharType="begin"/>
    </w:r>
    <w:r>
      <w:instrText xml:space="preserve"> PAGE   \* MERGEFORMAT </w:instrText>
    </w:r>
    <w:r>
      <w:fldChar w:fldCharType="separate"/>
    </w:r>
    <w:r w:rsidR="00D042FD">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right="0" w:firstLine="0"/>
      <w:jc w:val="center"/>
    </w:pPr>
    <w:r>
      <w:t xml:space="preserve">SM </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right="0" w:firstLine="0"/>
      <w:jc w:val="center"/>
    </w:pPr>
    <w:r>
      <w:t xml:space="preserve">SM </w:t>
    </w:r>
    <w:r>
      <w:fldChar w:fldCharType="begin"/>
    </w:r>
    <w:r>
      <w:instrText xml:space="preserve"> PAGE   \* MERGEFORMAT </w:instrText>
    </w:r>
    <w:r>
      <w:fldChar w:fldCharType="separate"/>
    </w:r>
    <w:r w:rsidR="007B3530">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0" w:right="0" w:firstLine="0"/>
      <w:jc w:val="center"/>
    </w:pPr>
    <w:r>
      <w:t xml:space="preserve">SM </w:t>
    </w:r>
    <w:r>
      <w:fldChar w:fldCharType="begin"/>
    </w:r>
    <w:r>
      <w:instrText xml:space="preserve"> PAGE   \* MERGEFORMAT </w:instrText>
    </w:r>
    <w:r>
      <w:fldChar w:fldCharType="separate"/>
    </w:r>
    <w:r w:rsidR="009C0E39">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330" w:rsidRDefault="00635330">
      <w:pPr>
        <w:spacing w:after="0" w:line="240" w:lineRule="auto"/>
      </w:pPr>
      <w:r>
        <w:separator/>
      </w:r>
    </w:p>
  </w:footnote>
  <w:footnote w:type="continuationSeparator" w:id="0">
    <w:p w:rsidR="00635330" w:rsidRDefault="00635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5963E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5963E4">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5963E4">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5963E4">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5963E4">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3E4" w:rsidRDefault="00635330">
    <w:pPr>
      <w:spacing w:after="0" w:line="259" w:lineRule="auto"/>
      <w:ind w:left="128" w:right="0" w:firstLine="0"/>
      <w:jc w:val="center"/>
    </w:pPr>
    <w:r>
      <w:rPr>
        <w:sz w:val="18"/>
      </w:rPr>
      <w:t xml:space="preserve">Supplementary Table 2 – </w:t>
    </w:r>
    <w:r>
      <w:rPr>
        <w:i/>
        <w:sz w:val="18"/>
      </w:rPr>
      <w:t>Continued from previous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7C65"/>
    <w:multiLevelType w:val="hybridMultilevel"/>
    <w:tmpl w:val="F64A2002"/>
    <w:lvl w:ilvl="0" w:tplc="319A44D6">
      <w:start w:val="1"/>
      <w:numFmt w:val="decimal"/>
      <w:lvlText w:val="%1."/>
      <w:lvlJc w:val="left"/>
      <w:pPr>
        <w:ind w:left="4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9DEFB06">
      <w:start w:val="1"/>
      <w:numFmt w:val="lowerLetter"/>
      <w:lvlText w:val="%2"/>
      <w:lvlJc w:val="left"/>
      <w:pPr>
        <w:ind w:left="1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1615FA">
      <w:start w:val="1"/>
      <w:numFmt w:val="lowerRoman"/>
      <w:lvlText w:val="%3"/>
      <w:lvlJc w:val="left"/>
      <w:pPr>
        <w:ind w:left="18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034A830">
      <w:start w:val="1"/>
      <w:numFmt w:val="decimal"/>
      <w:lvlText w:val="%4"/>
      <w:lvlJc w:val="left"/>
      <w:pPr>
        <w:ind w:left="25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1E2D26">
      <w:start w:val="1"/>
      <w:numFmt w:val="lowerLetter"/>
      <w:lvlText w:val="%5"/>
      <w:lvlJc w:val="left"/>
      <w:pPr>
        <w:ind w:left="32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DA9378">
      <w:start w:val="1"/>
      <w:numFmt w:val="lowerRoman"/>
      <w:lvlText w:val="%6"/>
      <w:lvlJc w:val="left"/>
      <w:pPr>
        <w:ind w:left="40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8C467F6">
      <w:start w:val="1"/>
      <w:numFmt w:val="decimal"/>
      <w:lvlText w:val="%7"/>
      <w:lvlJc w:val="left"/>
      <w:pPr>
        <w:ind w:left="47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427542">
      <w:start w:val="1"/>
      <w:numFmt w:val="lowerLetter"/>
      <w:lvlText w:val="%8"/>
      <w:lvlJc w:val="left"/>
      <w:pPr>
        <w:ind w:left="54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6B2F72E">
      <w:start w:val="1"/>
      <w:numFmt w:val="lowerRoman"/>
      <w:lvlText w:val="%9"/>
      <w:lvlJc w:val="left"/>
      <w:pPr>
        <w:ind w:left="61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C66182"/>
    <w:multiLevelType w:val="hybridMultilevel"/>
    <w:tmpl w:val="162263CA"/>
    <w:lvl w:ilvl="0" w:tplc="C2DCF540">
      <w:start w:val="21"/>
      <w:numFmt w:val="decimal"/>
      <w:lvlText w:val="%1."/>
      <w:lvlJc w:val="left"/>
      <w:pPr>
        <w:ind w:left="4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3CFDD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9E33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82A46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2E6D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D4876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F698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0968204">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AB47F8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A5734D"/>
    <w:multiLevelType w:val="hybridMultilevel"/>
    <w:tmpl w:val="63C28A24"/>
    <w:lvl w:ilvl="0" w:tplc="1A209050">
      <w:start w:val="1"/>
      <w:numFmt w:val="decimal"/>
      <w:lvlText w:val="%1"/>
      <w:lvlJc w:val="left"/>
      <w:pPr>
        <w:ind w:left="1756"/>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1" w:tplc="DD9092F0">
      <w:start w:val="1"/>
      <w:numFmt w:val="lowerLetter"/>
      <w:lvlText w:val="%2"/>
      <w:lvlJc w:val="left"/>
      <w:pPr>
        <w:ind w:left="270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2" w:tplc="A0F2EBB2">
      <w:start w:val="1"/>
      <w:numFmt w:val="lowerRoman"/>
      <w:lvlText w:val="%3"/>
      <w:lvlJc w:val="left"/>
      <w:pPr>
        <w:ind w:left="342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3" w:tplc="9B1E3974">
      <w:start w:val="1"/>
      <w:numFmt w:val="decimal"/>
      <w:lvlText w:val="%4"/>
      <w:lvlJc w:val="left"/>
      <w:pPr>
        <w:ind w:left="414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4" w:tplc="831C56D0">
      <w:start w:val="1"/>
      <w:numFmt w:val="lowerLetter"/>
      <w:lvlText w:val="%5"/>
      <w:lvlJc w:val="left"/>
      <w:pPr>
        <w:ind w:left="486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5" w:tplc="C8620DC4">
      <w:start w:val="1"/>
      <w:numFmt w:val="lowerRoman"/>
      <w:lvlText w:val="%6"/>
      <w:lvlJc w:val="left"/>
      <w:pPr>
        <w:ind w:left="558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6" w:tplc="5F222EF8">
      <w:start w:val="1"/>
      <w:numFmt w:val="decimal"/>
      <w:lvlText w:val="%7"/>
      <w:lvlJc w:val="left"/>
      <w:pPr>
        <w:ind w:left="630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7" w:tplc="56A6B438">
      <w:start w:val="1"/>
      <w:numFmt w:val="lowerLetter"/>
      <w:lvlText w:val="%8"/>
      <w:lvlJc w:val="left"/>
      <w:pPr>
        <w:ind w:left="702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8" w:tplc="4146771C">
      <w:start w:val="1"/>
      <w:numFmt w:val="lowerRoman"/>
      <w:lvlText w:val="%9"/>
      <w:lvlJc w:val="left"/>
      <w:pPr>
        <w:ind w:left="7745"/>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7FE541BF"/>
    <w:multiLevelType w:val="hybridMultilevel"/>
    <w:tmpl w:val="205812E4"/>
    <w:lvl w:ilvl="0" w:tplc="353A3824">
      <w:start w:val="6"/>
      <w:numFmt w:val="decimal"/>
      <w:lvlText w:val="%1"/>
      <w:lvlJc w:val="left"/>
      <w:pPr>
        <w:ind w:left="1662"/>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1" w:tplc="2FA411DE">
      <w:start w:val="1"/>
      <w:numFmt w:val="lowerLetter"/>
      <w:lvlText w:val="%2"/>
      <w:lvlJc w:val="left"/>
      <w:pPr>
        <w:ind w:left="255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2" w:tplc="C964A334">
      <w:start w:val="1"/>
      <w:numFmt w:val="lowerRoman"/>
      <w:lvlText w:val="%3"/>
      <w:lvlJc w:val="left"/>
      <w:pPr>
        <w:ind w:left="327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3" w:tplc="9BEAED26">
      <w:start w:val="1"/>
      <w:numFmt w:val="decimal"/>
      <w:lvlText w:val="%4"/>
      <w:lvlJc w:val="left"/>
      <w:pPr>
        <w:ind w:left="399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4" w:tplc="5B067014">
      <w:start w:val="1"/>
      <w:numFmt w:val="lowerLetter"/>
      <w:lvlText w:val="%5"/>
      <w:lvlJc w:val="left"/>
      <w:pPr>
        <w:ind w:left="471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5" w:tplc="089E14C6">
      <w:start w:val="1"/>
      <w:numFmt w:val="lowerRoman"/>
      <w:lvlText w:val="%6"/>
      <w:lvlJc w:val="left"/>
      <w:pPr>
        <w:ind w:left="543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6" w:tplc="3170DEAA">
      <w:start w:val="1"/>
      <w:numFmt w:val="decimal"/>
      <w:lvlText w:val="%7"/>
      <w:lvlJc w:val="left"/>
      <w:pPr>
        <w:ind w:left="615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7" w:tplc="E48C5D0E">
      <w:start w:val="1"/>
      <w:numFmt w:val="lowerLetter"/>
      <w:lvlText w:val="%8"/>
      <w:lvlJc w:val="left"/>
      <w:pPr>
        <w:ind w:left="687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lvl w:ilvl="8" w:tplc="38FEEF12">
      <w:start w:val="1"/>
      <w:numFmt w:val="lowerRoman"/>
      <w:lvlText w:val="%9"/>
      <w:lvlJc w:val="left"/>
      <w:pPr>
        <w:ind w:left="7598"/>
      </w:pPr>
      <w:rPr>
        <w:rFonts w:ascii="Cambria" w:eastAsia="Cambria" w:hAnsi="Cambria" w:cs="Cambria"/>
        <w:b w:val="0"/>
        <w:i w:val="0"/>
        <w:strike w:val="0"/>
        <w:dstrike w:val="0"/>
        <w:color w:val="000000"/>
        <w:sz w:val="12"/>
        <w:szCs w:val="12"/>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E4"/>
    <w:rsid w:val="005963E4"/>
    <w:rsid w:val="00635330"/>
    <w:rsid w:val="007B3530"/>
    <w:rsid w:val="009C0E39"/>
    <w:rsid w:val="00A515E2"/>
    <w:rsid w:val="00D042FD"/>
    <w:rsid w:val="00E5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5C2E5-308C-4C5B-83EB-565910AB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56" w:lineRule="auto"/>
      <w:ind w:left="10" w:right="850" w:hanging="10"/>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26" w:line="265" w:lineRule="auto"/>
      <w:ind w:left="10" w:right="850" w:hanging="10"/>
      <w:jc w:val="center"/>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136"/>
      <w:ind w:left="508" w:right="1348" w:hanging="10"/>
      <w:jc w:val="center"/>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ithub.com/georgimarinov/GeorgiScript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5522</Words>
  <Characters>31477</Characters>
  <Application>Microsoft Office Word</Application>
  <DocSecurity>0</DocSecurity>
  <Lines>262</Lines>
  <Paragraphs>73</Paragraphs>
  <ScaleCrop>false</ScaleCrop>
  <Company/>
  <LinksUpToDate>false</LinksUpToDate>
  <CharactersWithSpaces>36926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dcterms:created xsi:type="dcterms:W3CDTF">2021-02-13T12:10:00Z</dcterms:created>
  <dcterms:modified xsi:type="dcterms:W3CDTF">2021-02-13T12:17:00Z</dcterms:modified>
</cp:coreProperties>
</file>