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596" w:rsidRDefault="0069393F">
      <w:pPr>
        <w:spacing w:after="277" w:line="226" w:lineRule="auto"/>
        <w:ind w:left="533" w:right="533"/>
        <w:jc w:val="center"/>
      </w:pPr>
      <w:bookmarkStart w:id="0" w:name="_GoBack"/>
      <w:bookmarkEnd w:id="0"/>
      <w:r>
        <w:rPr>
          <w:rFonts w:ascii="Cambria" w:eastAsia="Cambria" w:hAnsi="Cambria" w:cs="Cambria"/>
          <w:b/>
          <w:sz w:val="34"/>
        </w:rPr>
        <w:t>Mapping active regulatory elements genome-wide in cultured primary neurons using ATAC-seq. Response to reviewer comments</w:t>
      </w:r>
    </w:p>
    <w:p w:rsidR="00DD1596" w:rsidRDefault="0069393F">
      <w:pPr>
        <w:spacing w:after="71"/>
        <w:ind w:left="-5" w:hanging="10"/>
      </w:pPr>
      <w:r>
        <w:rPr>
          <w:rFonts w:ascii="Cambria" w:eastAsia="Cambria" w:hAnsi="Cambria" w:cs="Cambria"/>
          <w:b/>
          <w:sz w:val="29"/>
        </w:rPr>
        <w:t>Reviewer 1:</w:t>
      </w:r>
    </w:p>
    <w:p w:rsidR="00DD1596" w:rsidRDefault="0069393F">
      <w:pPr>
        <w:spacing w:after="73" w:line="252" w:lineRule="auto"/>
        <w:ind w:left="493" w:right="483" w:hanging="10"/>
        <w:jc w:val="both"/>
      </w:pPr>
      <w:r>
        <w:rPr>
          <w:rFonts w:ascii="Cambria" w:eastAsia="Cambria" w:hAnsi="Cambria" w:cs="Cambria"/>
          <w:color w:val="0000FF"/>
          <w:sz w:val="20"/>
        </w:rPr>
        <w:t>Reviewer #1: The protocol submitted by Maor-Nof et al., describes the application of optimized ATACseq to live plated primary neurons. It is well written, clear and concise. Some steps and quality controls would require a bit of clarification and some addi</w:t>
      </w:r>
      <w:r>
        <w:rPr>
          <w:rFonts w:ascii="Cambria" w:eastAsia="Cambria" w:hAnsi="Cambria" w:cs="Cambria"/>
          <w:color w:val="0000FF"/>
          <w:sz w:val="20"/>
        </w:rPr>
        <w:t>tional explanation as indicated in my comments.</w:t>
      </w:r>
    </w:p>
    <w:p w:rsidR="00DD1596" w:rsidRDefault="0069393F">
      <w:pPr>
        <w:spacing w:after="192" w:line="252" w:lineRule="auto"/>
        <w:ind w:left="493" w:right="483" w:hanging="10"/>
        <w:jc w:val="both"/>
      </w:pPr>
      <w:r>
        <w:rPr>
          <w:rFonts w:ascii="Cambria" w:eastAsia="Cambria" w:hAnsi="Cambria" w:cs="Cambria"/>
          <w:color w:val="0000FF"/>
          <w:sz w:val="20"/>
        </w:rPr>
        <w:t>Overall, I found this protocol quite straightforward (for people used to perform ATAC-seq) and clear and therefore recommend it for publication in STAR Protocols, pending the required revisions are made.</w:t>
      </w:r>
    </w:p>
    <w:p w:rsidR="00DD1596" w:rsidRDefault="0069393F">
      <w:pPr>
        <w:spacing w:after="413" w:line="252" w:lineRule="auto"/>
        <w:ind w:left="-15" w:firstLine="289"/>
        <w:jc w:val="both"/>
      </w:pPr>
      <w:r>
        <w:rPr>
          <w:rFonts w:ascii="Cambria" w:eastAsia="Cambria" w:hAnsi="Cambria" w:cs="Cambria"/>
          <w:sz w:val="20"/>
        </w:rPr>
        <w:t>We t</w:t>
      </w:r>
      <w:r>
        <w:rPr>
          <w:rFonts w:ascii="Cambria" w:eastAsia="Cambria" w:hAnsi="Cambria" w:cs="Cambria"/>
          <w:sz w:val="20"/>
        </w:rPr>
        <w:t>hank the reviewer for the useful comments and suggestions and have made the recommended changes to the manuscript.</w:t>
      </w:r>
    </w:p>
    <w:p w:rsidR="00DD1596" w:rsidRDefault="0069393F">
      <w:pPr>
        <w:spacing w:after="71"/>
        <w:ind w:left="-5" w:hanging="10"/>
      </w:pPr>
      <w:r>
        <w:rPr>
          <w:rFonts w:ascii="Cambria" w:eastAsia="Cambria" w:hAnsi="Cambria" w:cs="Cambria"/>
          <w:b/>
          <w:sz w:val="29"/>
        </w:rPr>
        <w:t>Reviewer 2:</w:t>
      </w:r>
    </w:p>
    <w:p w:rsidR="00DD1596" w:rsidRDefault="0069393F">
      <w:pPr>
        <w:spacing w:after="192" w:line="252" w:lineRule="auto"/>
        <w:ind w:left="493" w:right="483" w:hanging="10"/>
        <w:jc w:val="both"/>
      </w:pPr>
      <w:r>
        <w:rPr>
          <w:rFonts w:ascii="Cambria" w:eastAsia="Cambria" w:hAnsi="Cambria" w:cs="Cambria"/>
          <w:color w:val="0000FF"/>
          <w:sz w:val="20"/>
        </w:rPr>
        <w:t>Reviewer #2: This protocol from Maor-Nof et al. provides an updated ATAC-seq procedures specific for cultured primary neurons. Ov</w:t>
      </w:r>
      <w:r>
        <w:rPr>
          <w:rFonts w:ascii="Cambria" w:eastAsia="Cambria" w:hAnsi="Cambria" w:cs="Cambria"/>
          <w:color w:val="0000FF"/>
          <w:sz w:val="20"/>
        </w:rPr>
        <w:t>erall, the protocol is well-written and will be ready for publication once the details mentioned in the review are clarified.</w:t>
      </w:r>
    </w:p>
    <w:p w:rsidR="00DD1596" w:rsidRDefault="0069393F">
      <w:pPr>
        <w:spacing w:after="405"/>
        <w:jc w:val="right"/>
      </w:pPr>
      <w:r>
        <w:rPr>
          <w:rFonts w:ascii="Cambria" w:eastAsia="Cambria" w:hAnsi="Cambria" w:cs="Cambria"/>
          <w:sz w:val="20"/>
        </w:rPr>
        <w:t>We thank the reviewer for the provided comments and suggestions. We have changed the manuscript accordingly.</w:t>
      </w:r>
    </w:p>
    <w:p w:rsidR="00DD1596" w:rsidRDefault="0069393F">
      <w:pPr>
        <w:spacing w:after="71"/>
        <w:ind w:left="-5" w:hanging="10"/>
      </w:pPr>
      <w:r>
        <w:rPr>
          <w:rFonts w:ascii="Cambria" w:eastAsia="Cambria" w:hAnsi="Cambria" w:cs="Cambria"/>
          <w:b/>
          <w:sz w:val="29"/>
        </w:rPr>
        <w:t>Reviewer 3:</w:t>
      </w:r>
    </w:p>
    <w:p w:rsidR="00DD1596" w:rsidRDefault="0069393F">
      <w:pPr>
        <w:spacing w:after="192" w:line="252" w:lineRule="auto"/>
        <w:ind w:left="493" w:right="483" w:hanging="10"/>
        <w:jc w:val="both"/>
      </w:pPr>
      <w:r>
        <w:rPr>
          <w:rFonts w:ascii="Cambria" w:eastAsia="Cambria" w:hAnsi="Cambria" w:cs="Cambria"/>
          <w:color w:val="0000FF"/>
          <w:sz w:val="20"/>
        </w:rPr>
        <w:t xml:space="preserve">Reviewer </w:t>
      </w:r>
      <w:r>
        <w:rPr>
          <w:rFonts w:ascii="Cambria" w:eastAsia="Cambria" w:hAnsi="Cambria" w:cs="Cambria"/>
          <w:color w:val="0000FF"/>
          <w:sz w:val="20"/>
        </w:rPr>
        <w:t>#3: In this study, Maya Maor-Nof and colleagues introduce a new protocol assay aimed at identifying robust and seamless footprints of Transposase Accessible Chromatin sequencing and associated mapping of active regulatory elements genome-wide in cultured p</w:t>
      </w:r>
      <w:r>
        <w:rPr>
          <w:rFonts w:ascii="Cambria" w:eastAsia="Cambria" w:hAnsi="Cambria" w:cs="Cambria"/>
          <w:color w:val="0000FF"/>
          <w:sz w:val="20"/>
        </w:rPr>
        <w:t>rimary neurons. Overall, a comprehensive and detailed protocol by Maor-Nof et al that will be very useful to the primary culture research community studying gene regulation. I recommend acceptance with minor revisions as indicated in the comments below.</w:t>
      </w:r>
    </w:p>
    <w:p w:rsidR="00DD1596" w:rsidRDefault="0069393F">
      <w:pPr>
        <w:spacing w:after="192" w:line="252" w:lineRule="auto"/>
        <w:ind w:left="299"/>
        <w:jc w:val="both"/>
      </w:pPr>
      <w:r>
        <w:rPr>
          <w:rFonts w:ascii="Cambria" w:eastAsia="Cambria" w:hAnsi="Cambria" w:cs="Cambria"/>
          <w:sz w:val="20"/>
        </w:rPr>
        <w:t>We</w:t>
      </w:r>
      <w:r>
        <w:rPr>
          <w:rFonts w:ascii="Cambria" w:eastAsia="Cambria" w:hAnsi="Cambria" w:cs="Cambria"/>
          <w:sz w:val="20"/>
        </w:rPr>
        <w:t xml:space="preserve"> thank the reviewer for the suggestions.</w:t>
      </w:r>
    </w:p>
    <w:p w:rsidR="00DD1596" w:rsidRDefault="0069393F">
      <w:pPr>
        <w:numPr>
          <w:ilvl w:val="0"/>
          <w:numId w:val="1"/>
        </w:numPr>
        <w:spacing w:after="192" w:line="252" w:lineRule="auto"/>
        <w:ind w:left="726" w:right="483" w:hanging="243"/>
        <w:jc w:val="both"/>
      </w:pPr>
      <w:r>
        <w:rPr>
          <w:rFonts w:ascii="Cambria" w:eastAsia="Cambria" w:hAnsi="Cambria" w:cs="Cambria"/>
          <w:color w:val="0000FF"/>
          <w:sz w:val="20"/>
        </w:rPr>
        <w:t>A small introduction describing what each major step sets out to achieve at the start would be useful.</w:t>
      </w:r>
    </w:p>
    <w:p w:rsidR="00DD1596" w:rsidRDefault="0069393F">
      <w:pPr>
        <w:spacing w:after="192" w:line="252" w:lineRule="auto"/>
        <w:ind w:left="299"/>
        <w:jc w:val="both"/>
      </w:pPr>
      <w:r>
        <w:rPr>
          <w:rFonts w:ascii="Cambria" w:eastAsia="Cambria" w:hAnsi="Cambria" w:cs="Cambria"/>
          <w:sz w:val="20"/>
        </w:rPr>
        <w:t>We have added such introductions to most sections.</w:t>
      </w:r>
    </w:p>
    <w:p w:rsidR="00DD1596" w:rsidRDefault="0069393F">
      <w:pPr>
        <w:numPr>
          <w:ilvl w:val="0"/>
          <w:numId w:val="1"/>
        </w:numPr>
        <w:spacing w:after="192" w:line="252" w:lineRule="auto"/>
        <w:ind w:left="726" w:right="483" w:hanging="243"/>
        <w:jc w:val="both"/>
      </w:pPr>
      <w:r>
        <w:rPr>
          <w:rFonts w:ascii="Cambria" w:eastAsia="Cambria" w:hAnsi="Cambria" w:cs="Cambria"/>
          <w:color w:val="0000FF"/>
          <w:sz w:val="20"/>
        </w:rPr>
        <w:t>Analysis workflow for ATAC-seq data and profiling is missing and need to be included.</w:t>
      </w:r>
    </w:p>
    <w:p w:rsidR="00DD1596" w:rsidRDefault="0069393F">
      <w:pPr>
        <w:spacing w:after="0" w:line="252" w:lineRule="auto"/>
        <w:ind w:left="-15" w:firstLine="289"/>
        <w:jc w:val="both"/>
      </w:pPr>
      <w:r>
        <w:rPr>
          <w:rFonts w:ascii="Cambria" w:eastAsia="Cambria" w:hAnsi="Cambria" w:cs="Cambria"/>
          <w:sz w:val="20"/>
        </w:rPr>
        <w:t>We agree with the reviewer that ATAC-seq data processing and analysis is an important subject, but this goes beyond the scope of the current manuscript, the focus of whic</w:t>
      </w:r>
      <w:r>
        <w:rPr>
          <w:rFonts w:ascii="Cambria" w:eastAsia="Cambria" w:hAnsi="Cambria" w:cs="Cambria"/>
          <w:sz w:val="20"/>
        </w:rPr>
        <w:t>h is the experimental protocol for carrying out ATAC-seq on plated neurons.</w:t>
      </w:r>
    </w:p>
    <w:p w:rsidR="00DD1596" w:rsidRDefault="0069393F">
      <w:pPr>
        <w:spacing w:after="192" w:line="252" w:lineRule="auto"/>
        <w:ind w:left="-15" w:firstLine="289"/>
        <w:jc w:val="both"/>
      </w:pPr>
      <w:r>
        <w:rPr>
          <w:rFonts w:ascii="Cambria" w:eastAsia="Cambria" w:hAnsi="Cambria" w:cs="Cambria"/>
          <w:sz w:val="20"/>
        </w:rPr>
        <w:t>We have added an explicit referal to our recent detailed description of ATAC-seq data and processing (Marinov &amp; Shipony 2021) regarding processing and analysis.</w:t>
      </w:r>
    </w:p>
    <w:p w:rsidR="00DD1596" w:rsidRDefault="0069393F">
      <w:pPr>
        <w:numPr>
          <w:ilvl w:val="0"/>
          <w:numId w:val="1"/>
        </w:numPr>
        <w:spacing w:after="192" w:line="252" w:lineRule="auto"/>
        <w:ind w:left="726" w:right="483" w:hanging="243"/>
        <w:jc w:val="both"/>
      </w:pPr>
      <w:r>
        <w:rPr>
          <w:rFonts w:ascii="Cambria" w:eastAsia="Cambria" w:hAnsi="Cambria" w:cs="Cambria"/>
          <w:color w:val="0000FF"/>
          <w:sz w:val="20"/>
        </w:rPr>
        <w:t>More information re</w:t>
      </w:r>
      <w:r>
        <w:rPr>
          <w:rFonts w:ascii="Cambria" w:eastAsia="Cambria" w:hAnsi="Cambria" w:cs="Cambria"/>
          <w:color w:val="0000FF"/>
          <w:sz w:val="20"/>
        </w:rPr>
        <w:t>garding index hoping would be useful, or reference to the literature.</w:t>
      </w:r>
    </w:p>
    <w:p w:rsidR="00DD1596" w:rsidRDefault="0069393F">
      <w:pPr>
        <w:spacing w:after="500" w:line="252" w:lineRule="auto"/>
        <w:ind w:left="-15" w:firstLine="289"/>
        <w:jc w:val="both"/>
      </w:pPr>
      <w:r>
        <w:rPr>
          <w:rFonts w:ascii="Cambria" w:eastAsia="Cambria" w:hAnsi="Cambria" w:cs="Cambria"/>
          <w:sz w:val="20"/>
        </w:rPr>
        <w:t>The protocol described here is largely agnostic regarding the particulars of the sequencing downstream, aside from that sequencing having to be done on a Illumina instrument. Index hoppi</w:t>
      </w:r>
      <w:r>
        <w:rPr>
          <w:rFonts w:ascii="Cambria" w:eastAsia="Cambria" w:hAnsi="Cambria" w:cs="Cambria"/>
          <w:sz w:val="20"/>
        </w:rPr>
        <w:t>ng is an esoteric subject that is beyond the scope of the current protocol; it has also never been shown to be a significant issue for typical bulk ATAC-seq experiments.</w:t>
      </w:r>
    </w:p>
    <w:p w:rsidR="00DD1596" w:rsidRDefault="0069393F">
      <w:pPr>
        <w:spacing w:after="253"/>
        <w:ind w:left="10" w:hanging="10"/>
        <w:jc w:val="center"/>
      </w:pPr>
      <w:r>
        <w:rPr>
          <w:rFonts w:ascii="Cambria" w:eastAsia="Cambria" w:hAnsi="Cambria" w:cs="Cambria"/>
          <w:sz w:val="20"/>
        </w:rPr>
        <w:lastRenderedPageBreak/>
        <w:t>1</w:t>
      </w:r>
    </w:p>
    <w:p w:rsidR="00DD1596" w:rsidRDefault="0069393F">
      <w:pPr>
        <w:numPr>
          <w:ilvl w:val="0"/>
          <w:numId w:val="1"/>
        </w:numPr>
        <w:spacing w:after="192" w:line="252" w:lineRule="auto"/>
        <w:ind w:left="726" w:right="483" w:hanging="243"/>
        <w:jc w:val="both"/>
      </w:pPr>
      <w:r>
        <w:rPr>
          <w:rFonts w:ascii="Cambria" w:eastAsia="Cambria" w:hAnsi="Cambria" w:cs="Cambria"/>
          <w:color w:val="0000FF"/>
          <w:sz w:val="20"/>
        </w:rPr>
        <w:t>Heat maps depicting normalized ATAC-seq signal at all TSS, sorted by signal intensit</w:t>
      </w:r>
      <w:r>
        <w:rPr>
          <w:rFonts w:ascii="Cambria" w:eastAsia="Cambria" w:hAnsi="Cambria" w:cs="Cambria"/>
          <w:color w:val="0000FF"/>
          <w:sz w:val="20"/>
        </w:rPr>
        <w:t>y should bepart of the manuscript and missing here.</w:t>
      </w:r>
    </w:p>
    <w:p w:rsidR="00DD1596" w:rsidRDefault="0069393F">
      <w:pPr>
        <w:spacing w:after="192" w:line="252" w:lineRule="auto"/>
        <w:ind w:left="299"/>
        <w:jc w:val="both"/>
      </w:pPr>
      <w:r>
        <w:rPr>
          <w:rFonts w:ascii="Cambria" w:eastAsia="Cambria" w:hAnsi="Cambria" w:cs="Cambria"/>
          <w:sz w:val="20"/>
        </w:rPr>
        <w:t>We have added such a heat map.</w:t>
      </w:r>
    </w:p>
    <w:p w:rsidR="00DD1596" w:rsidRDefault="0069393F">
      <w:pPr>
        <w:numPr>
          <w:ilvl w:val="0"/>
          <w:numId w:val="1"/>
        </w:numPr>
        <w:spacing w:after="192" w:line="252" w:lineRule="auto"/>
        <w:ind w:left="726" w:right="483" w:hanging="243"/>
        <w:jc w:val="both"/>
      </w:pPr>
      <w:r>
        <w:rPr>
          <w:rFonts w:ascii="Cambria" w:eastAsia="Cambria" w:hAnsi="Cambria" w:cs="Cambria"/>
          <w:color w:val="0000FF"/>
          <w:sz w:val="20"/>
        </w:rPr>
        <w:t>Real-time qPCR for the assessment of the quality of ATAC-Seq libraries is missing.</w:t>
      </w:r>
    </w:p>
    <w:p w:rsidR="00DD1596" w:rsidRDefault="0069393F">
      <w:pPr>
        <w:spacing w:after="192" w:line="252" w:lineRule="auto"/>
        <w:ind w:left="-15" w:firstLine="289"/>
        <w:jc w:val="both"/>
      </w:pPr>
      <w:r>
        <w:rPr>
          <w:rFonts w:ascii="Cambria" w:eastAsia="Cambria" w:hAnsi="Cambria" w:cs="Cambria"/>
          <w:sz w:val="20"/>
        </w:rPr>
        <w:t xml:space="preserve">We have never used qPCR to evaluate quality of ATAC-seq, nor are we aware of anyone using </w:t>
      </w:r>
      <w:r>
        <w:rPr>
          <w:rFonts w:ascii="Cambria" w:eastAsia="Cambria" w:hAnsi="Cambria" w:cs="Cambria"/>
          <w:sz w:val="20"/>
        </w:rPr>
        <w:t>it, nor do we see why anyone would do that. The TSS score metric that we use is the gold standard for ATAC-seq QC, and can be applied on a small QC run (i.e. just a few hundred thousand reads for each library), before committing to a full production run (t</w:t>
      </w:r>
      <w:r>
        <w:rPr>
          <w:rFonts w:ascii="Cambria" w:eastAsia="Cambria" w:hAnsi="Cambria" w:cs="Cambria"/>
          <w:sz w:val="20"/>
        </w:rPr>
        <w:t>his is something we do routinely). We have added that advice to the text.</w:t>
      </w:r>
    </w:p>
    <w:p w:rsidR="00DD1596" w:rsidRDefault="0069393F">
      <w:pPr>
        <w:numPr>
          <w:ilvl w:val="0"/>
          <w:numId w:val="1"/>
        </w:numPr>
        <w:spacing w:after="192" w:line="252" w:lineRule="auto"/>
        <w:ind w:left="726" w:right="483" w:hanging="243"/>
        <w:jc w:val="both"/>
      </w:pPr>
      <w:r>
        <w:rPr>
          <w:rFonts w:ascii="Cambria" w:eastAsia="Cambria" w:hAnsi="Cambria" w:cs="Cambria"/>
          <w:color w:val="0000FF"/>
          <w:sz w:val="20"/>
        </w:rPr>
        <w:t>Major step of ATAC-seq data analysis is to identify accessible regions (also referred to as peaks) andis the basis for advanced analysis which is again lacking in this article. Altho</w:t>
      </w:r>
      <w:r>
        <w:rPr>
          <w:rFonts w:ascii="Cambria" w:eastAsia="Cambria" w:hAnsi="Cambria" w:cs="Cambria"/>
          <w:color w:val="0000FF"/>
          <w:sz w:val="20"/>
        </w:rPr>
        <w:t>ugh Peak tracks generated by these tools analyzed and visualized in this manuscript, count-based analysis behaves similarly but are quite different from shape-based tools.</w:t>
      </w:r>
    </w:p>
    <w:p w:rsidR="00DD1596" w:rsidRDefault="0069393F">
      <w:pPr>
        <w:spacing w:after="192" w:line="252" w:lineRule="auto"/>
        <w:ind w:left="-15" w:firstLine="289"/>
        <w:jc w:val="both"/>
      </w:pPr>
      <w:r>
        <w:rPr>
          <w:rFonts w:ascii="Cambria" w:eastAsia="Cambria" w:hAnsi="Cambria" w:cs="Cambria"/>
          <w:sz w:val="20"/>
        </w:rPr>
        <w:t xml:space="preserve">As we noted above, the processing and analysis of ATAC-seq data is beyond the scope </w:t>
      </w:r>
      <w:r>
        <w:rPr>
          <w:rFonts w:ascii="Cambria" w:eastAsia="Cambria" w:hAnsi="Cambria" w:cs="Cambria"/>
          <w:sz w:val="20"/>
        </w:rPr>
        <w:t>of this manuscript (if we were to provide a proper treatment of that subject in this manuscript, its length would likely have to quadruple) and we have already described all our procedures in complete detail previously.</w:t>
      </w:r>
    </w:p>
    <w:p w:rsidR="00DD1596" w:rsidRDefault="0069393F">
      <w:pPr>
        <w:numPr>
          <w:ilvl w:val="0"/>
          <w:numId w:val="1"/>
        </w:numPr>
        <w:spacing w:after="192" w:line="252" w:lineRule="auto"/>
        <w:ind w:left="726" w:right="483" w:hanging="243"/>
        <w:jc w:val="both"/>
      </w:pPr>
      <w:r>
        <w:rPr>
          <w:rFonts w:ascii="Cambria" w:eastAsia="Cambria" w:hAnsi="Cambria" w:cs="Cambria"/>
          <w:color w:val="0000FF"/>
          <w:sz w:val="20"/>
        </w:rPr>
        <w:t>By its nature ATAC-seq reveals multi</w:t>
      </w:r>
      <w:r>
        <w:rPr>
          <w:rFonts w:ascii="Cambria" w:eastAsia="Cambria" w:hAnsi="Cambria" w:cs="Cambria"/>
          <w:color w:val="0000FF"/>
          <w:sz w:val="20"/>
        </w:rPr>
        <w:t>ple aspects of transcriptional regulation, the major step involvinga protocol paper interpretation at four different levels: peak, motif, nucleosome, and TF footprint. Accordingly, authors need to provide convincing data that their experiments achieve moti</w:t>
      </w:r>
      <w:r>
        <w:rPr>
          <w:rFonts w:ascii="Cambria" w:eastAsia="Cambria" w:hAnsi="Cambria" w:cs="Cambria"/>
          <w:color w:val="0000FF"/>
          <w:sz w:val="20"/>
        </w:rPr>
        <w:t>f and TF footprints in these parameters.</w:t>
      </w:r>
    </w:p>
    <w:p w:rsidR="00DD1596" w:rsidRDefault="0069393F">
      <w:pPr>
        <w:spacing w:after="192" w:line="252" w:lineRule="auto"/>
        <w:ind w:left="-15" w:firstLine="289"/>
        <w:jc w:val="both"/>
      </w:pPr>
      <w:r>
        <w:rPr>
          <w:rFonts w:ascii="Cambria" w:eastAsia="Cambria" w:hAnsi="Cambria" w:cs="Cambria"/>
          <w:sz w:val="20"/>
        </w:rPr>
        <w:t>We are not sure what exactly the reviewer is requesting here, as the quality of the neuronal ATAC-seq libraries is very high, as shown in Figure 2C. TSS scores between 20 and 30 are as good as have ever been seen in</w:t>
      </w:r>
      <w:r>
        <w:rPr>
          <w:rFonts w:ascii="Cambria" w:eastAsia="Cambria" w:hAnsi="Cambria" w:cs="Cambria"/>
          <w:sz w:val="20"/>
        </w:rPr>
        <w:t xml:space="preserve"> ATAC-seq libraries, generated by us or anyone else.</w:t>
      </w:r>
    </w:p>
    <w:p w:rsidR="00DD1596" w:rsidRDefault="0069393F">
      <w:pPr>
        <w:numPr>
          <w:ilvl w:val="0"/>
          <w:numId w:val="1"/>
        </w:numPr>
        <w:spacing w:after="192" w:line="252" w:lineRule="auto"/>
        <w:ind w:left="726" w:right="483" w:hanging="243"/>
        <w:jc w:val="both"/>
      </w:pPr>
      <w:r>
        <w:rPr>
          <w:rFonts w:ascii="Cambria" w:eastAsia="Cambria" w:hAnsi="Cambria" w:cs="Cambria"/>
          <w:color w:val="0000FF"/>
          <w:sz w:val="20"/>
        </w:rPr>
        <w:t>I also suggest adding a section on ATAC-seq QC of the NGS data. A brief explanation about Diffbindand what to look for would be helpful prior to moving forward to Diffbind.</w:t>
      </w:r>
    </w:p>
    <w:p w:rsidR="00DD1596" w:rsidRDefault="0069393F">
      <w:pPr>
        <w:spacing w:after="192" w:line="252" w:lineRule="auto"/>
        <w:ind w:left="-15" w:firstLine="289"/>
        <w:jc w:val="both"/>
      </w:pPr>
      <w:r>
        <w:rPr>
          <w:rFonts w:ascii="Cambria" w:eastAsia="Cambria" w:hAnsi="Cambria" w:cs="Cambria"/>
          <w:sz w:val="20"/>
        </w:rPr>
        <w:t>We are not sure why the review</w:t>
      </w:r>
      <w:r>
        <w:rPr>
          <w:rFonts w:ascii="Cambria" w:eastAsia="Cambria" w:hAnsi="Cambria" w:cs="Cambria"/>
          <w:sz w:val="20"/>
        </w:rPr>
        <w:t>er suggests that we should talk about Diffbind. We have never used it, not are we aware of anyone else using it for ATAC-seq analysis. There is a vast array of tools for analysis of NGS data, and their comprehensive description is completely beyond the sco</w:t>
      </w:r>
      <w:r>
        <w:rPr>
          <w:rFonts w:ascii="Cambria" w:eastAsia="Cambria" w:hAnsi="Cambria" w:cs="Cambria"/>
          <w:sz w:val="20"/>
        </w:rPr>
        <w:t>pe of a manuscript dedicated to a experimental protocol.</w:t>
      </w:r>
    </w:p>
    <w:p w:rsidR="00DD1596" w:rsidRDefault="0069393F">
      <w:pPr>
        <w:numPr>
          <w:ilvl w:val="0"/>
          <w:numId w:val="1"/>
        </w:numPr>
        <w:spacing w:after="192" w:line="252" w:lineRule="auto"/>
        <w:ind w:left="726" w:right="483" w:hanging="243"/>
        <w:jc w:val="both"/>
      </w:pPr>
      <w:r>
        <w:rPr>
          <w:rFonts w:ascii="Cambria" w:eastAsia="Cambria" w:hAnsi="Cambria" w:cs="Cambria"/>
          <w:color w:val="0000FF"/>
          <w:sz w:val="20"/>
        </w:rPr>
        <w:t>In some cases critical steps and alternatives are missing for equipment or reagents.</w:t>
      </w:r>
    </w:p>
    <w:p w:rsidR="00DD1596" w:rsidRDefault="0069393F">
      <w:pPr>
        <w:spacing w:after="3315" w:line="252" w:lineRule="auto"/>
        <w:ind w:left="-15" w:firstLine="289"/>
        <w:jc w:val="both"/>
      </w:pPr>
      <w:r>
        <w:rPr>
          <w:rFonts w:ascii="Cambria" w:eastAsia="Cambria" w:hAnsi="Cambria" w:cs="Cambria"/>
          <w:sz w:val="20"/>
        </w:rPr>
        <w:t xml:space="preserve">There is indeed a wide variety of reagents that could probably be used in several steps in the protocol. However, we can only describe the reagents that we ourselves have used and can verify that they work. We have included alternatives in the cases where </w:t>
      </w:r>
      <w:r>
        <w:rPr>
          <w:rFonts w:ascii="Cambria" w:eastAsia="Cambria" w:hAnsi="Cambria" w:cs="Cambria"/>
          <w:sz w:val="20"/>
        </w:rPr>
        <w:t>we have used more than one reagent, but we cannot go beyond that as we cannot verify that those further alternatives in fact work as well as what we use.</w:t>
      </w:r>
    </w:p>
    <w:p w:rsidR="00DD1596" w:rsidRDefault="0069393F">
      <w:pPr>
        <w:spacing w:after="253"/>
        <w:ind w:left="10" w:hanging="10"/>
        <w:jc w:val="center"/>
      </w:pPr>
      <w:r>
        <w:rPr>
          <w:rFonts w:ascii="Cambria" w:eastAsia="Cambria" w:hAnsi="Cambria" w:cs="Cambria"/>
          <w:sz w:val="20"/>
        </w:rPr>
        <w:lastRenderedPageBreak/>
        <w:t>2</w:t>
      </w:r>
    </w:p>
    <w:sectPr w:rsidR="00DD1596">
      <w:pgSz w:w="12240" w:h="15840"/>
      <w:pgMar w:top="1134" w:right="1134" w:bottom="106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903"/>
    <w:multiLevelType w:val="hybridMultilevel"/>
    <w:tmpl w:val="2744A4F4"/>
    <w:lvl w:ilvl="0" w:tplc="98348ABE">
      <w:start w:val="1"/>
      <w:numFmt w:val="decimal"/>
      <w:lvlText w:val="%1."/>
      <w:lvlJc w:val="left"/>
      <w:pPr>
        <w:ind w:left="727"/>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1" w:tplc="30883980">
      <w:start w:val="1"/>
      <w:numFmt w:val="lowerLetter"/>
      <w:lvlText w:val="%2"/>
      <w:lvlJc w:val="left"/>
      <w:pPr>
        <w:ind w:left="157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2" w:tplc="2D6E1FFC">
      <w:start w:val="1"/>
      <w:numFmt w:val="lowerRoman"/>
      <w:lvlText w:val="%3"/>
      <w:lvlJc w:val="left"/>
      <w:pPr>
        <w:ind w:left="229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3" w:tplc="84D69D88">
      <w:start w:val="1"/>
      <w:numFmt w:val="decimal"/>
      <w:lvlText w:val="%4"/>
      <w:lvlJc w:val="left"/>
      <w:pPr>
        <w:ind w:left="301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4" w:tplc="0794247A">
      <w:start w:val="1"/>
      <w:numFmt w:val="lowerLetter"/>
      <w:lvlText w:val="%5"/>
      <w:lvlJc w:val="left"/>
      <w:pPr>
        <w:ind w:left="373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5" w:tplc="A3BABB6A">
      <w:start w:val="1"/>
      <w:numFmt w:val="lowerRoman"/>
      <w:lvlText w:val="%6"/>
      <w:lvlJc w:val="left"/>
      <w:pPr>
        <w:ind w:left="445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6" w:tplc="877C496C">
      <w:start w:val="1"/>
      <w:numFmt w:val="decimal"/>
      <w:lvlText w:val="%7"/>
      <w:lvlJc w:val="left"/>
      <w:pPr>
        <w:ind w:left="517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7" w:tplc="019C1C4E">
      <w:start w:val="1"/>
      <w:numFmt w:val="lowerLetter"/>
      <w:lvlText w:val="%8"/>
      <w:lvlJc w:val="left"/>
      <w:pPr>
        <w:ind w:left="589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8" w:tplc="65C0D51E">
      <w:start w:val="1"/>
      <w:numFmt w:val="lowerRoman"/>
      <w:lvlText w:val="%9"/>
      <w:lvlJc w:val="left"/>
      <w:pPr>
        <w:ind w:left="661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596"/>
    <w:rsid w:val="0069393F"/>
    <w:rsid w:val="00DD1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D61957-BAC2-437E-BBAC-32C926610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857</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2021-07-14T21:24:00Z</dcterms:created>
  <dcterms:modified xsi:type="dcterms:W3CDTF">2021-07-14T21:24:00Z</dcterms:modified>
</cp:coreProperties>
</file>