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C2F" w:rsidRDefault="00F166FB">
      <w:pPr>
        <w:spacing w:after="11" w:line="250" w:lineRule="auto"/>
        <w:ind w:left="-5" w:right="212"/>
        <w:jc w:val="left"/>
      </w:pPr>
      <w:bookmarkStart w:id="0" w:name="_GoBack"/>
      <w:bookmarkEnd w:id="0"/>
      <w:r>
        <w:rPr>
          <w:rFonts w:ascii="Calibri" w:eastAsia="Calibri" w:hAnsi="Calibri" w:cs="Calibri"/>
          <w:b/>
          <w:sz w:val="29"/>
        </w:rPr>
        <w:t>Single-molecule multikilobase-scale profiling of chromatin</w:t>
      </w:r>
    </w:p>
    <w:p w:rsidR="003A0C2F" w:rsidRDefault="00F166FB">
      <w:pPr>
        <w:spacing w:after="67" w:line="250" w:lineRule="auto"/>
        <w:ind w:left="-5" w:right="212"/>
        <w:jc w:val="left"/>
      </w:pPr>
      <w:r>
        <w:rPr>
          <w:rFonts w:ascii="Calibri" w:eastAsia="Calibri" w:hAnsi="Calibri" w:cs="Calibri"/>
          <w:b/>
          <w:sz w:val="29"/>
        </w:rPr>
        <w:t>accessibility using m</w:t>
      </w:r>
      <w:r>
        <w:rPr>
          <w:sz w:val="29"/>
          <w:vertAlign w:val="superscript"/>
        </w:rPr>
        <w:t>6</w:t>
      </w:r>
      <w:r>
        <w:rPr>
          <w:rFonts w:ascii="Calibri" w:eastAsia="Calibri" w:hAnsi="Calibri" w:cs="Calibri"/>
          <w:b/>
          <w:sz w:val="29"/>
        </w:rPr>
        <w:t>A-SMAC-seq and m</w:t>
      </w:r>
      <w:r>
        <w:rPr>
          <w:sz w:val="29"/>
          <w:vertAlign w:val="superscript"/>
        </w:rPr>
        <w:t>6</w:t>
      </w:r>
      <w:r>
        <w:rPr>
          <w:rFonts w:ascii="Calibri" w:eastAsia="Calibri" w:hAnsi="Calibri" w:cs="Calibri"/>
          <w:b/>
          <w:sz w:val="29"/>
        </w:rPr>
        <w:t>A-CpG-GpC-SMAC-seq</w:t>
      </w:r>
    </w:p>
    <w:p w:rsidR="003A0C2F" w:rsidRDefault="00F166FB">
      <w:pPr>
        <w:spacing w:after="0" w:line="265" w:lineRule="auto"/>
        <w:ind w:left="-5" w:right="0"/>
        <w:jc w:val="left"/>
      </w:pPr>
      <w:r>
        <w:rPr>
          <w:rFonts w:ascii="Calibri" w:eastAsia="Calibri" w:hAnsi="Calibri" w:cs="Calibri"/>
          <w:b/>
        </w:rPr>
        <w:t>Georgi K. Marinov</w:t>
      </w:r>
      <w:r>
        <w:rPr>
          <w:vertAlign w:val="superscript"/>
        </w:rPr>
        <w:footnoteReference w:id="1"/>
      </w:r>
      <w:r>
        <w:rPr>
          <w:vertAlign w:val="superscript"/>
        </w:rPr>
        <w:t>,*,#</w:t>
      </w:r>
      <w:r>
        <w:rPr>
          <w:rFonts w:ascii="Calibri" w:eastAsia="Calibri" w:hAnsi="Calibri" w:cs="Calibri"/>
        </w:rPr>
        <w:t xml:space="preserve">, </w:t>
      </w:r>
      <w:r>
        <w:rPr>
          <w:rFonts w:ascii="Calibri" w:eastAsia="Calibri" w:hAnsi="Calibri" w:cs="Calibri"/>
          <w:b/>
        </w:rPr>
        <w:t>Zohar Shipony</w:t>
      </w:r>
      <w:r>
        <w:rPr>
          <w:vertAlign w:val="superscript"/>
        </w:rPr>
        <w:t>1,*,#</w:t>
      </w:r>
      <w:r>
        <w:rPr>
          <w:rFonts w:ascii="Calibri" w:eastAsia="Calibri" w:hAnsi="Calibri" w:cs="Calibri"/>
        </w:rPr>
        <w:t xml:space="preserve">, </w:t>
      </w:r>
      <w:r>
        <w:rPr>
          <w:rFonts w:ascii="Calibri" w:eastAsia="Calibri" w:hAnsi="Calibri" w:cs="Calibri"/>
          <w:b/>
        </w:rPr>
        <w:t>Anshul Kundaje</w:t>
      </w:r>
      <w:r>
        <w:rPr>
          <w:vertAlign w:val="superscript"/>
        </w:rPr>
        <w:t>1,2</w:t>
      </w:r>
      <w:r>
        <w:rPr>
          <w:rFonts w:ascii="Calibri" w:eastAsia="Calibri" w:hAnsi="Calibri" w:cs="Calibri"/>
        </w:rPr>
        <w:t xml:space="preserve">, and </w:t>
      </w:r>
      <w:r>
        <w:rPr>
          <w:rFonts w:ascii="Calibri" w:eastAsia="Calibri" w:hAnsi="Calibri" w:cs="Calibri"/>
          <w:b/>
        </w:rPr>
        <w:t>William J.</w:t>
      </w:r>
    </w:p>
    <w:p w:rsidR="003A0C2F" w:rsidRDefault="00F166FB">
      <w:pPr>
        <w:spacing w:after="245" w:line="265" w:lineRule="auto"/>
        <w:ind w:left="-5" w:right="0"/>
        <w:jc w:val="left"/>
      </w:pPr>
      <w:r>
        <w:rPr>
          <w:rFonts w:ascii="Calibri" w:eastAsia="Calibri" w:hAnsi="Calibri" w:cs="Calibri"/>
          <w:b/>
        </w:rPr>
        <w:t>Greenleaf</w:t>
      </w:r>
      <w:r>
        <w:rPr>
          <w:sz w:val="14"/>
        </w:rPr>
        <w:t>1,3,4,5</w:t>
      </w:r>
    </w:p>
    <w:p w:rsidR="003A0C2F" w:rsidRDefault="00F166FB">
      <w:pPr>
        <w:spacing w:after="4" w:line="265" w:lineRule="auto"/>
        <w:ind w:left="-5" w:right="0"/>
        <w:jc w:val="left"/>
      </w:pPr>
      <w:r>
        <w:rPr>
          <w:vertAlign w:val="superscript"/>
        </w:rPr>
        <w:t>1</w:t>
      </w:r>
      <w:r>
        <w:rPr>
          <w:rFonts w:ascii="Calibri" w:eastAsia="Calibri" w:hAnsi="Calibri" w:cs="Calibri"/>
          <w:i/>
        </w:rPr>
        <w:t>Department of Genetics, Stanford University, Stanford, CA 94305, USA</w:t>
      </w:r>
    </w:p>
    <w:p w:rsidR="003A0C2F" w:rsidRDefault="00F166FB">
      <w:pPr>
        <w:spacing w:after="4" w:line="265" w:lineRule="auto"/>
        <w:ind w:left="-5" w:right="0"/>
        <w:jc w:val="left"/>
      </w:pPr>
      <w:r>
        <w:rPr>
          <w:vertAlign w:val="superscript"/>
        </w:rPr>
        <w:t>2</w:t>
      </w:r>
      <w:r>
        <w:rPr>
          <w:rFonts w:ascii="Calibri" w:eastAsia="Calibri" w:hAnsi="Calibri" w:cs="Calibri"/>
          <w:i/>
        </w:rPr>
        <w:t>Department of Computer Science, Stanford University, Stanford, CA 94305, USA</w:t>
      </w:r>
    </w:p>
    <w:p w:rsidR="003A0C2F" w:rsidRDefault="00F166FB">
      <w:pPr>
        <w:spacing w:after="4" w:line="265" w:lineRule="auto"/>
        <w:ind w:left="-5" w:right="0"/>
        <w:jc w:val="left"/>
      </w:pPr>
      <w:r>
        <w:rPr>
          <w:vertAlign w:val="superscript"/>
        </w:rPr>
        <w:t>3</w:t>
      </w:r>
      <w:r>
        <w:rPr>
          <w:rFonts w:ascii="Calibri" w:eastAsia="Calibri" w:hAnsi="Calibri" w:cs="Calibri"/>
          <w:i/>
        </w:rPr>
        <w:t>Center for Personal Dynamic Regulomes, Stanford University, Stanford, California 94305,</w:t>
      </w:r>
    </w:p>
    <w:p w:rsidR="003A0C2F" w:rsidRDefault="00F166FB">
      <w:pPr>
        <w:spacing w:after="4" w:line="265" w:lineRule="auto"/>
        <w:ind w:left="-5" w:right="0"/>
        <w:jc w:val="left"/>
      </w:pPr>
      <w:r>
        <w:rPr>
          <w:rFonts w:ascii="Calibri" w:eastAsia="Calibri" w:hAnsi="Calibri" w:cs="Calibri"/>
          <w:i/>
        </w:rPr>
        <w:t>USA</w:t>
      </w:r>
    </w:p>
    <w:p w:rsidR="003A0C2F" w:rsidRDefault="00F166FB">
      <w:pPr>
        <w:spacing w:after="4" w:line="265" w:lineRule="auto"/>
        <w:ind w:left="-5" w:right="0"/>
        <w:jc w:val="left"/>
      </w:pPr>
      <w:r>
        <w:rPr>
          <w:vertAlign w:val="superscript"/>
        </w:rPr>
        <w:t>4</w:t>
      </w:r>
      <w:r>
        <w:rPr>
          <w:rFonts w:ascii="Calibri" w:eastAsia="Calibri" w:hAnsi="Calibri" w:cs="Calibri"/>
          <w:i/>
        </w:rPr>
        <w:t>Department of A</w:t>
      </w:r>
      <w:r>
        <w:rPr>
          <w:rFonts w:ascii="Calibri" w:eastAsia="Calibri" w:hAnsi="Calibri" w:cs="Calibri"/>
          <w:i/>
        </w:rPr>
        <w:t>pplied Physics, Stanford University, Stanford, California 94305, USA</w:t>
      </w:r>
    </w:p>
    <w:p w:rsidR="003A0C2F" w:rsidRDefault="00F166FB">
      <w:pPr>
        <w:spacing w:after="4" w:line="265" w:lineRule="auto"/>
        <w:ind w:left="-5" w:right="0"/>
        <w:jc w:val="left"/>
      </w:pPr>
      <w:r>
        <w:rPr>
          <w:vertAlign w:val="superscript"/>
        </w:rPr>
        <w:t>5</w:t>
      </w:r>
      <w:r>
        <w:rPr>
          <w:rFonts w:ascii="Calibri" w:eastAsia="Calibri" w:hAnsi="Calibri" w:cs="Calibri"/>
          <w:i/>
        </w:rPr>
        <w:t>Chan Zuckerberg Biohub, San Francisco, California, USA</w:t>
      </w:r>
    </w:p>
    <w:p w:rsidR="003A0C2F" w:rsidRDefault="00F166FB">
      <w:pPr>
        <w:spacing w:after="4" w:line="265" w:lineRule="auto"/>
        <w:ind w:left="-5" w:right="0"/>
        <w:jc w:val="left"/>
      </w:pPr>
      <w:r>
        <w:rPr>
          <w:vertAlign w:val="superscript"/>
        </w:rPr>
        <w:t>*</w:t>
      </w:r>
      <w:r>
        <w:rPr>
          <w:rFonts w:ascii="Calibri" w:eastAsia="Calibri" w:hAnsi="Calibri" w:cs="Calibri"/>
          <w:i/>
        </w:rPr>
        <w:t>These authors contributed equally to this work</w:t>
      </w:r>
    </w:p>
    <w:p w:rsidR="003A0C2F" w:rsidRDefault="00F166FB">
      <w:pPr>
        <w:spacing w:after="850" w:line="265" w:lineRule="auto"/>
        <w:ind w:left="-5" w:right="0"/>
        <w:jc w:val="left"/>
      </w:pPr>
      <w:r>
        <w:rPr>
          <w:vertAlign w:val="superscript"/>
        </w:rPr>
        <w:t>#</w:t>
      </w:r>
      <w:r>
        <w:rPr>
          <w:rFonts w:ascii="Calibri" w:eastAsia="Calibri" w:hAnsi="Calibri" w:cs="Calibri"/>
          <w:i/>
        </w:rPr>
        <w:t>Corresponding authors</w:t>
      </w:r>
    </w:p>
    <w:p w:rsidR="003A0C2F" w:rsidRDefault="00F166FB">
      <w:pPr>
        <w:pStyle w:val="Heading1"/>
      </w:pPr>
      <w:r>
        <w:t>Summary</w:t>
      </w:r>
    </w:p>
    <w:p w:rsidR="003A0C2F" w:rsidRDefault="00F166FB">
      <w:pPr>
        <w:spacing w:after="0"/>
        <w:ind w:right="725"/>
      </w:pPr>
      <w:r>
        <w:t xml:space="preserve">A hallmark feature of active </w:t>
      </w:r>
      <w:r>
        <w:rPr>
          <w:i/>
        </w:rPr>
        <w:t>cis</w:t>
      </w:r>
      <w:r>
        <w:t>-regulatory elements</w:t>
      </w:r>
      <w:r>
        <w:t xml:space="preserve"> (CREs) in eukaryotes is their nucleosomal depletion and, accordingly, higher accessibility to enzymatic treatment. This property has been the basis of a number of sequencing-based assays for genome-wide identification and tracking the activity of CREs acr</w:t>
      </w:r>
      <w:r>
        <w:t>oss different biological conditions, such as DNAse-seq, ATAC-seq, NOMeseq and others. However, the fragmentation of DNA inherent to many of these assays and the limited read length of short-read sequencing platforms have so far not allowed the simultaneous</w:t>
      </w:r>
      <w:r>
        <w:t xml:space="preserve"> measurement of the chromatin accessibility state of CREs located distally from each other. The combination of labeling accessible DNA with DNA modifications and nanopore sequencing has made it possible to develop such assays. Here, we provide a detailed p</w:t>
      </w:r>
      <w:r>
        <w:t>rotocol for carrying out the SMAC-seq assay (</w:t>
      </w:r>
      <w:r>
        <w:rPr>
          <w:b/>
          <w:u w:val="single" w:color="000000"/>
        </w:rPr>
        <w:t>S</w:t>
      </w:r>
      <w:r>
        <w:t>ingle-</w:t>
      </w:r>
      <w:r>
        <w:rPr>
          <w:b/>
          <w:u w:val="single" w:color="000000"/>
        </w:rPr>
        <w:t>M</w:t>
      </w:r>
      <w:r>
        <w:t xml:space="preserve">olecule long-read </w:t>
      </w:r>
      <w:r>
        <w:rPr>
          <w:b/>
          <w:u w:val="single" w:color="000000"/>
        </w:rPr>
        <w:t>A</w:t>
      </w:r>
      <w:r>
        <w:t xml:space="preserve">ccessible </w:t>
      </w:r>
      <w:r>
        <w:rPr>
          <w:b/>
          <w:u w:val="single" w:color="000000"/>
        </w:rPr>
        <w:t>C</w:t>
      </w:r>
      <w:r>
        <w:t xml:space="preserve">hromatin mapping </w:t>
      </w:r>
      <w:r>
        <w:rPr>
          <w:b/>
        </w:rPr>
        <w:t>seq</w:t>
      </w:r>
      <w:r>
        <w:t>uencing), in its</w:t>
      </w:r>
    </w:p>
    <w:p w:rsidR="003A0C2F" w:rsidRDefault="00F166FB">
      <w:pPr>
        <w:spacing w:after="55" w:line="259" w:lineRule="auto"/>
        <w:ind w:left="6675" w:right="0" w:firstLine="0"/>
        <w:jc w:val="left"/>
      </w:pPr>
      <w:r>
        <w:rPr>
          <w:rFonts w:ascii="Calibri" w:eastAsia="Calibri" w:hAnsi="Calibri" w:cs="Calibri"/>
          <w:noProof/>
          <w:sz w:val="22"/>
        </w:rPr>
        <mc:AlternateContent>
          <mc:Choice Requires="wpg">
            <w:drawing>
              <wp:inline distT="0" distB="0" distL="0" distR="0">
                <wp:extent cx="200876" cy="5055"/>
                <wp:effectExtent l="0" t="0" r="0" b="0"/>
                <wp:docPr id="17647" name="Group 17647"/>
                <wp:cNvGraphicFramePr/>
                <a:graphic xmlns:a="http://schemas.openxmlformats.org/drawingml/2006/main">
                  <a:graphicData uri="http://schemas.microsoft.com/office/word/2010/wordprocessingGroup">
                    <wpg:wgp>
                      <wpg:cNvGrpSpPr/>
                      <wpg:grpSpPr>
                        <a:xfrm>
                          <a:off x="0" y="0"/>
                          <a:ext cx="200876" cy="5055"/>
                          <a:chOff x="0" y="0"/>
                          <a:chExt cx="200876" cy="5055"/>
                        </a:xfrm>
                      </wpg:grpSpPr>
                      <wps:wsp>
                        <wps:cNvPr id="66" name="Shape 66"/>
                        <wps:cNvSpPr/>
                        <wps:spPr>
                          <a:xfrm>
                            <a:off x="0" y="0"/>
                            <a:ext cx="200876" cy="0"/>
                          </a:xfrm>
                          <a:custGeom>
                            <a:avLst/>
                            <a:gdLst/>
                            <a:ahLst/>
                            <a:cxnLst/>
                            <a:rect l="0" t="0" r="0" b="0"/>
                            <a:pathLst>
                              <a:path w="200876">
                                <a:moveTo>
                                  <a:pt x="0" y="0"/>
                                </a:moveTo>
                                <a:lnTo>
                                  <a:pt x="20087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EF040F" id="Group 17647" o:spid="_x0000_s1026" style="width:15.8pt;height:.4pt;mso-position-horizontal-relative:char;mso-position-vertical-relative:line" coordsize="200876,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XWwIAAM0FAAAOAAAAZHJzL2Uyb0RvYy54bWykVEuP2jAQvlfqf7ByLwmowCoi7KHbcqna&#10;VXf3BxjHTiz5JdsQ+PcdTx4gVt0D5RDGntc334xn83jSihy5D9KaKpvPioxww2wtTVNlb68/vjxk&#10;JERqaqqs4VV25iF73H7+tOlcyRe2tarmnkAQE8rOVVkboyvzPLCWaxpm1nEDSmG9phGOvslrTzuI&#10;rlW+KIpV3llfO28ZDwFun3pltsX4QnAWfwsReCSqygBbxK/H7z598+2Glo2nrpVsgEHvQKGpNJB0&#10;CvVEIyUHL9+F0pJ5G6yIM2Z1boWQjGMNUM28uKlm5+3BYS1N2TVuogmoveHp7rDs1/HZE1lD79ar&#10;r+uMGKqhTZiZ9FdAUeeaEix33r24Zz9cNP0pVX0SXqd/qIeckNzzRC4/RcLgErr1sF5lhIFqWSyX&#10;PfWshf6882Ht9w+88jFhnnBNMDoHIxQuLIX/Y+mlpY4j+SHVPrC0ggp6ilBP4Ix0oM1ETigD8HQP&#10;MziRU4G0ZIcQd9wiu/T4M8R+YOtRou0osZMZRQ9j/+HAOxqTXwKYRNJN7UlX2h75q0VlvGkNILto&#10;lbm2Gvs7dh5MewMQUpLtZhAwMcjXpSmTMOBYEEZhDwhFIz4oLSMsCCU1TOhiXRQjQcpAwNTynmmU&#10;4lnxBFuZP1zAUMPUzTFI8M3+m/LkSNMawF9qG0IE0+QjpFKTV/FPr2RKlWvpEGsIMyTAkEOkZMlx&#10;A92GZQOafg3BY4bFNC4jgDQ5ISxr4uRvYIViwqtqk7i39RmfJRICbwCpwZ2BiIb9lpbS9RmtLlt4&#10;+xcAAP//AwBQSwMEFAAGAAgAAAAhAMyRwMDZAAAAAQEAAA8AAABkcnMvZG93bnJldi54bWxMj0FL&#10;w0AQhe+C/2EZwZvdxGIpMZNSinoqgq0g3qbZaRKanQ3ZbZL+e1cv9jLweI/3vslXk23VwL1vnCCk&#10;swQUS+lMIxXC5/71YQnKBxJDrRNGuLCHVXF7k1Nm3CgfPOxCpWKJ+IwQ6hC6TGtf1mzJz1zHEr2j&#10;6y2FKPtKm57GWG5b/ZgkC22pkbhQU8ebmsvT7mwR3kYa1/P0ZdiejpvL9/7p/WubMuL93bR+BhV4&#10;Cv9h+MWP6FBEpoM7i/GqRYiPhL8bvXm6AHVAWIIucn1NXvwAAAD//wMAUEsBAi0AFAAGAAgAAAAh&#10;ALaDOJL+AAAA4QEAABMAAAAAAAAAAAAAAAAAAAAAAFtDb250ZW50X1R5cGVzXS54bWxQSwECLQAU&#10;AAYACAAAACEAOP0h/9YAAACUAQAACwAAAAAAAAAAAAAAAAAvAQAAX3JlbHMvLnJlbHNQSwECLQAU&#10;AAYACAAAACEAoEI/F1sCAADNBQAADgAAAAAAAAAAAAAAAAAuAgAAZHJzL2Uyb0RvYy54bWxQSwEC&#10;LQAUAAYACAAAACEAzJHAwNkAAAABAQAADwAAAAAAAAAAAAAAAAC1BAAAZHJzL2Rvd25yZXYueG1s&#10;UEsFBgAAAAAEAAQA8wAAALsFAAAAAA==&#10;">
                <v:shape id="Shape 66" o:spid="_x0000_s1027" style="position:absolute;width:200876;height:0;visibility:visible;mso-wrap-style:square;v-text-anchor:top" coordsize="200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QlsQA&#10;AADbAAAADwAAAGRycy9kb3ducmV2LnhtbESPzWrDMBCE74W8g9hAb42cHEzjRjZNoZBDwNRuocfF&#10;2thOrZWx5J+8fVUo5DjMzjc7h2wxnZhocK1lBdtNBIK4srrlWsFn+f70DMJ5ZI2dZVJwIwdZuno4&#10;YKLtzB80Fb4WAcIuQQWN930ipasaMug2ticO3sUOBn2QQy31gHOAm07uoiiWBlsODQ329NZQ9VOM&#10;JrxxLUrd58f86/t2nnU87s/ceqUe18vrCwhPi78f/6dPWkEcw9+WA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kJbEAAAA2wAAAA8AAAAAAAAAAAAAAAAAmAIAAGRycy9k&#10;b3ducmV2LnhtbFBLBQYAAAAABAAEAPUAAACJAwAAAAA=&#10;" path="m,l200876,e" filled="f" strokeweight=".14042mm">
                  <v:stroke miterlimit="83231f" joinstyle="miter"/>
                  <v:path arrowok="t" textboxrect="0,0,200876,0"/>
                </v:shape>
                <w10:anchorlock/>
              </v:group>
            </w:pict>
          </mc:Fallback>
        </mc:AlternateContent>
      </w:r>
    </w:p>
    <w:p w:rsidR="003A0C2F" w:rsidRDefault="00F166FB">
      <w:pPr>
        <w:spacing w:after="215"/>
        <w:ind w:right="725"/>
      </w:pPr>
      <w:r>
        <w:t>m</w:t>
      </w:r>
      <w:r>
        <w:rPr>
          <w:vertAlign w:val="superscript"/>
        </w:rPr>
        <w:t>6</w:t>
      </w:r>
      <w:r>
        <w:t>A-SMAC-seq and m</w:t>
      </w:r>
      <w:r>
        <w:rPr>
          <w:vertAlign w:val="superscript"/>
        </w:rPr>
        <w:t>6</w:t>
      </w:r>
      <w:r>
        <w:t>A-CpG-GpC-SMAC-seq variants, together with methods for data processing and analysis, and discuss key experimental and analytical considerations for working with SMAC-seq datasets.</w:t>
      </w:r>
    </w:p>
    <w:p w:rsidR="003A0C2F" w:rsidRDefault="00F166FB">
      <w:pPr>
        <w:ind w:right="725"/>
      </w:pPr>
      <w:r>
        <w:rPr>
          <w:b/>
        </w:rPr>
        <w:t xml:space="preserve">Key words: </w:t>
      </w:r>
      <w:r>
        <w:t>Chromatin accessibility, SMAC-seq, Nanopore sequencing, DNA modif</w:t>
      </w:r>
      <w:r>
        <w:t>ications, m</w:t>
      </w:r>
      <w:r>
        <w:rPr>
          <w:vertAlign w:val="superscript"/>
        </w:rPr>
        <w:t>6</w:t>
      </w:r>
      <w:r>
        <w:t>A, EcoGII.</w:t>
      </w:r>
    </w:p>
    <w:p w:rsidR="003A0C2F" w:rsidRDefault="00F166FB">
      <w:pPr>
        <w:spacing w:after="241" w:line="259" w:lineRule="auto"/>
        <w:ind w:left="170" w:right="0" w:firstLine="0"/>
        <w:jc w:val="left"/>
      </w:pPr>
      <w:r>
        <w:rPr>
          <w:noProof/>
        </w:rPr>
        <w:lastRenderedPageBreak/>
        <w:drawing>
          <wp:inline distT="0" distB="0" distL="0" distR="0">
            <wp:extent cx="5040285" cy="529498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a:fillRect/>
                    </a:stretch>
                  </pic:blipFill>
                  <pic:spPr>
                    <a:xfrm>
                      <a:off x="0" y="0"/>
                      <a:ext cx="5040285" cy="5294980"/>
                    </a:xfrm>
                    <a:prstGeom prst="rect">
                      <a:avLst/>
                    </a:prstGeom>
                  </pic:spPr>
                </pic:pic>
              </a:graphicData>
            </a:graphic>
          </wp:inline>
        </w:drawing>
      </w:r>
    </w:p>
    <w:p w:rsidR="003A0C2F" w:rsidRDefault="00F166FB">
      <w:pPr>
        <w:spacing w:after="432" w:line="263" w:lineRule="auto"/>
        <w:ind w:left="-15" w:firstLine="0"/>
      </w:pPr>
      <w:r>
        <w:rPr>
          <w:b/>
        </w:rPr>
        <w:t xml:space="preserve">Fig. 1: </w:t>
      </w:r>
      <w:r>
        <w:rPr>
          <w:b/>
          <w:sz w:val="18"/>
        </w:rPr>
        <w:t>Overview of the SMAC-seq experimental protocol</w:t>
      </w:r>
      <w:r>
        <w:rPr>
          <w:sz w:val="18"/>
        </w:rPr>
        <w:t>. Chromatin is treated with m</w:t>
      </w:r>
      <w:r>
        <w:rPr>
          <w:sz w:val="18"/>
          <w:vertAlign w:val="superscript"/>
        </w:rPr>
        <w:t>6</w:t>
      </w:r>
      <w:r>
        <w:rPr>
          <w:sz w:val="18"/>
        </w:rPr>
        <w:t>A and optionally also with CpG and GpC 5mC methyltransferases, which preferentially methylate DNA bases within accessible chromatin. HMW DNA is the</w:t>
      </w:r>
      <w:r>
        <w:rPr>
          <w:sz w:val="18"/>
        </w:rPr>
        <w:t>n isolated and subjected to nanopore sequencing. After read mapping and identifying modified bases, the accessibility state within individual chromatin fibers can be reconstructed.</w:t>
      </w:r>
    </w:p>
    <w:p w:rsidR="003A0C2F" w:rsidRDefault="00F166FB">
      <w:pPr>
        <w:spacing w:after="69"/>
        <w:ind w:left="2108" w:right="725"/>
      </w:pPr>
      <w:r>
        <w:t xml:space="preserve">occupancy and increased chromatin accessibility. This has turned out to be </w:t>
      </w:r>
      <w:r>
        <w:t xml:space="preserve">a highly useful property enabling the identification of candidate </w:t>
      </w:r>
      <w:r>
        <w:rPr>
          <w:i/>
        </w:rPr>
        <w:t>cis</w:t>
      </w:r>
      <w:r>
        <w:t>regulatory elements and the tracking of their activity across cell types and conditions.</w:t>
      </w:r>
    </w:p>
    <w:p w:rsidR="003A0C2F" w:rsidRDefault="00F166FB">
      <w:pPr>
        <w:ind w:left="2108" w:right="725"/>
      </w:pPr>
      <w:r>
        <w:t>Mapping accessible chromatin relies on the preferential enzymatic action of various reagents whose</w:t>
      </w:r>
      <w:r>
        <w:t xml:space="preserve"> access to DNA is occluded by the presence of nucleosomes. Four decades ago it was initially recognized that active</w:t>
      </w:r>
    </w:p>
    <w:p w:rsidR="003A0C2F" w:rsidRDefault="00F166FB">
      <w:pPr>
        <w:spacing w:after="241" w:line="259" w:lineRule="auto"/>
        <w:ind w:left="170" w:right="0" w:firstLine="0"/>
        <w:jc w:val="left"/>
      </w:pPr>
      <w:r>
        <w:rPr>
          <w:noProof/>
        </w:rPr>
        <w:lastRenderedPageBreak/>
        <w:drawing>
          <wp:inline distT="0" distB="0" distL="0" distR="0">
            <wp:extent cx="5040062" cy="2535265"/>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
                    <a:stretch>
                      <a:fillRect/>
                    </a:stretch>
                  </pic:blipFill>
                  <pic:spPr>
                    <a:xfrm>
                      <a:off x="0" y="0"/>
                      <a:ext cx="5040062" cy="2535265"/>
                    </a:xfrm>
                    <a:prstGeom prst="rect">
                      <a:avLst/>
                    </a:prstGeom>
                  </pic:spPr>
                </pic:pic>
              </a:graphicData>
            </a:graphic>
          </wp:inline>
        </w:drawing>
      </w:r>
    </w:p>
    <w:p w:rsidR="003A0C2F" w:rsidRDefault="00F166FB">
      <w:pPr>
        <w:spacing w:after="629" w:line="263" w:lineRule="auto"/>
        <w:ind w:left="-15" w:firstLine="0"/>
      </w:pPr>
      <w:r>
        <w:rPr>
          <w:b/>
        </w:rPr>
        <w:t xml:space="preserve">Fig. 2: </w:t>
      </w:r>
      <w:r>
        <w:rPr>
          <w:b/>
          <w:sz w:val="18"/>
        </w:rPr>
        <w:t>Impact of the use of dense modifications on the theoretical resolution of methylation-based chromatin accessibility assays</w:t>
      </w:r>
      <w:r>
        <w:rPr>
          <w:sz w:val="18"/>
        </w:rPr>
        <w:t>. (A and</w:t>
      </w:r>
      <w:r>
        <w:rPr>
          <w:sz w:val="18"/>
        </w:rPr>
        <w:t xml:space="preserve"> B) Theoretical average resolution of the SMAC-seq assay for different modification sequence contexts in the </w:t>
      </w:r>
      <w:r>
        <w:rPr>
          <w:i/>
          <w:sz w:val="18"/>
        </w:rPr>
        <w:t xml:space="preserve">S. cerevisiae </w:t>
      </w:r>
      <w:r>
        <w:rPr>
          <w:sz w:val="18"/>
        </w:rPr>
        <w:t xml:space="preserve">and </w:t>
      </w:r>
      <w:r>
        <w:rPr>
          <w:i/>
          <w:sz w:val="18"/>
        </w:rPr>
        <w:t xml:space="preserve">H. sapiens </w:t>
      </w:r>
      <w:r>
        <w:rPr>
          <w:sz w:val="18"/>
        </w:rPr>
        <w:t>genomes. (C and D) Limitations of using GpC m</w:t>
      </w:r>
      <w:r>
        <w:rPr>
          <w:sz w:val="18"/>
          <w:vertAlign w:val="superscript"/>
        </w:rPr>
        <w:t>5</w:t>
      </w:r>
      <w:r>
        <w:rPr>
          <w:sz w:val="18"/>
        </w:rPr>
        <w:t>C modifications alone due to the non-uniform distribution of GpC dinucle</w:t>
      </w:r>
      <w:r>
        <w:rPr>
          <w:sz w:val="18"/>
        </w:rPr>
        <w:t>otides in the genome, which results in many large regions without any informative positions.</w:t>
      </w:r>
    </w:p>
    <w:p w:rsidR="003A0C2F" w:rsidRDefault="00F166FB">
      <w:pPr>
        <w:spacing w:after="70"/>
        <w:ind w:left="2108" w:right="725"/>
      </w:pPr>
      <w:r>
        <w:t>cREs are hypersensitive to cleavage by DNase enzymes [</w:t>
      </w:r>
      <w:r>
        <w:rPr>
          <w:color w:val="422874"/>
        </w:rPr>
        <w:t>1</w:t>
      </w:r>
      <w:r>
        <w:t>–</w:t>
      </w:r>
      <w:r>
        <w:rPr>
          <w:color w:val="422874"/>
        </w:rPr>
        <w:t>3</w:t>
      </w:r>
      <w:r>
        <w:t xml:space="preserve">]. DNase hypersensitivity remained the primary approach for mapping cREs well into the genomic era, being </w:t>
      </w:r>
      <w:r>
        <w:t>first coupled to microarrays [</w:t>
      </w:r>
      <w:r>
        <w:rPr>
          <w:color w:val="422874"/>
        </w:rPr>
        <w:t>4</w:t>
      </w:r>
      <w:r>
        <w:t>–</w:t>
      </w:r>
      <w:r>
        <w:rPr>
          <w:color w:val="422874"/>
        </w:rPr>
        <w:t>6</w:t>
      </w:r>
      <w:r>
        <w:t>], and eventually high-throughput massively parallel sequencing [</w:t>
      </w:r>
      <w:r>
        <w:rPr>
          <w:color w:val="422874"/>
        </w:rPr>
        <w:t>7</w:t>
      </w:r>
      <w:r>
        <w:t>–</w:t>
      </w:r>
      <w:r>
        <w:rPr>
          <w:color w:val="422874"/>
        </w:rPr>
        <w:t>9</w:t>
      </w:r>
      <w:r>
        <w:t>].</w:t>
      </w:r>
    </w:p>
    <w:p w:rsidR="003A0C2F" w:rsidRDefault="00F166FB">
      <w:pPr>
        <w:ind w:left="2108" w:right="725"/>
      </w:pPr>
      <w:r>
        <w:t>The advent of high-throughput sequencing enabled the development of numerous novel strategies for mapping active CREs. ATAC-seq [</w:t>
      </w:r>
      <w:r>
        <w:rPr>
          <w:color w:val="422874"/>
        </w:rPr>
        <w:t>10</w:t>
      </w:r>
      <w:r>
        <w:t xml:space="preserve">], </w:t>
      </w:r>
      <w:r>
        <w:t>which relies on the preferential insertion of the Tn5 transposase enzyme into open chromatin, has emerged as the most convenient, versatile, and widely used method for studying the chromatin state of the eukaryotic cell, including down to single cell level</w:t>
      </w:r>
      <w:r>
        <w:t xml:space="preserve"> [</w:t>
      </w:r>
      <w:r>
        <w:rPr>
          <w:color w:val="422874"/>
        </w:rPr>
        <w:t>11</w:t>
      </w:r>
      <w:r>
        <w:t xml:space="preserve">, </w:t>
      </w:r>
      <w:r>
        <w:rPr>
          <w:color w:val="422874"/>
        </w:rPr>
        <w:t>12</w:t>
      </w:r>
      <w:r>
        <w:t>].</w:t>
      </w:r>
    </w:p>
    <w:p w:rsidR="003A0C2F" w:rsidRDefault="00F166FB">
      <w:pPr>
        <w:spacing w:after="68"/>
        <w:ind w:left="2108" w:right="725"/>
      </w:pPr>
      <w:r>
        <w:t>Other methods have also been developed, using restriction enzymes [</w:t>
      </w:r>
      <w:r>
        <w:rPr>
          <w:color w:val="422874"/>
        </w:rPr>
        <w:t>13</w:t>
      </w:r>
      <w:r>
        <w:t>], nicking enzymes [</w:t>
      </w:r>
      <w:r>
        <w:rPr>
          <w:color w:val="422874"/>
        </w:rPr>
        <w:t>14</w:t>
      </w:r>
      <w:r>
        <w:t>], small molecules [</w:t>
      </w:r>
      <w:r>
        <w:rPr>
          <w:color w:val="422874"/>
        </w:rPr>
        <w:t>15</w:t>
      </w:r>
      <w:r>
        <w:t>], viral integration [</w:t>
      </w:r>
      <w:r>
        <w:rPr>
          <w:color w:val="422874"/>
        </w:rPr>
        <w:t>16</w:t>
      </w:r>
      <w:r>
        <w:t>], and others.</w:t>
      </w:r>
    </w:p>
    <w:p w:rsidR="003A0C2F" w:rsidRDefault="00F166FB">
      <w:pPr>
        <w:spacing w:after="70"/>
        <w:ind w:left="2108" w:right="725"/>
      </w:pPr>
      <w:r>
        <w:t>All of these methods share two common features – they involve fragmentation of DNA and they e</w:t>
      </w:r>
      <w:r>
        <w:t>nrich for accessible DNA during sequencing library generation. Consequently, it is first, not possible to enumerate accessibility states within the cellular population, i.e. how often is a given CRE accessible, and second, there is no way to study the rela</w:t>
      </w:r>
      <w:r>
        <w:t>tionship between the chromatin states of distant regulatory elements, as the linkage between them is lost during fragmentation.</w:t>
      </w:r>
    </w:p>
    <w:p w:rsidR="003A0C2F" w:rsidRDefault="00F166FB">
      <w:pPr>
        <w:spacing w:after="51"/>
        <w:ind w:left="2108" w:right="725"/>
      </w:pPr>
      <w:r>
        <w:t xml:space="preserve">An alternative strategy to cleavage-based methods is to label accessible DNA with methyltransferase enzymes, then read out methylation states using high-throughput sequencing. This is the basic idea behind the </w:t>
      </w:r>
      <w:r>
        <w:lastRenderedPageBreak/>
        <w:t>NOMe-seq assay [</w:t>
      </w:r>
      <w:r>
        <w:rPr>
          <w:color w:val="422874"/>
        </w:rPr>
        <w:t>17</w:t>
      </w:r>
      <w:r>
        <w:t>] and its later dSMF extenti</w:t>
      </w:r>
      <w:r>
        <w:t>on [</w:t>
      </w:r>
      <w:r>
        <w:rPr>
          <w:color w:val="422874"/>
        </w:rPr>
        <w:t>18</w:t>
      </w:r>
      <w:r>
        <w:t>]. NOMe-seq uses the GpC methyltransferase M.CviPI to label accessible DNA at GpC positions. Genomic DNA is then subjected to bisulfite readout, providing single-molecule and fractional methylation (and thus accessibility) maps genome-wide. Only M.Cv</w:t>
      </w:r>
      <w:r>
        <w:t>iPI can be used in mammalian genomes due to the presence of endogenous CpG methylation, and only the m</w:t>
      </w:r>
      <w:r>
        <w:rPr>
          <w:vertAlign w:val="superscript"/>
        </w:rPr>
        <w:t>5</w:t>
      </w:r>
      <w:r>
        <w:t>C modification can be utilized as this is what can be read out with basepair resolution using short-read sequencing. This presents a limitation, as GpC n</w:t>
      </w:r>
      <w:r>
        <w:t xml:space="preserve">ucleotides are only found once every </w:t>
      </w:r>
      <w:r>
        <w:t>∼</w:t>
      </w:r>
      <w:r>
        <w:t xml:space="preserve">25 bp in a mammalian genome. In organisms such as </w:t>
      </w:r>
      <w:r>
        <w:rPr>
          <w:i/>
        </w:rPr>
        <w:t xml:space="preserve">Drosophila </w:t>
      </w:r>
      <w:r>
        <w:t xml:space="preserve">that do not have endogenous methylation, both a GpC and a CpG methyltransferase (M.SssI) can be used, increasing resolution to </w:t>
      </w:r>
      <w:r>
        <w:t>∼</w:t>
      </w:r>
      <w:r>
        <w:t>10 bp on average, in the form</w:t>
      </w:r>
      <w:r>
        <w:t xml:space="preserve"> of the dSMF assay. This has allowed the enumeration of protein occupancy states at unprecedented resolution at a single-molecule level [</w:t>
      </w:r>
      <w:r>
        <w:rPr>
          <w:color w:val="422874"/>
        </w:rPr>
        <w:t>18</w:t>
      </w:r>
      <w:r>
        <w:t>]. Yet short-read approaches of this kind are still quite limited in their capabilities.</w:t>
      </w:r>
    </w:p>
    <w:p w:rsidR="003A0C2F" w:rsidRDefault="00F166FB">
      <w:pPr>
        <w:spacing w:after="58"/>
        <w:ind w:left="2108" w:right="725"/>
      </w:pPr>
      <w:r>
        <w:t>First, these resolution valu</w:t>
      </w:r>
      <w:r>
        <w:t xml:space="preserve">es are averages. In reality genomes contains some quite large stretches with no informative positions (Figure </w:t>
      </w:r>
      <w:r>
        <w:rPr>
          <w:color w:val="E4322B"/>
        </w:rPr>
        <w:t>2</w:t>
      </w:r>
      <w:r>
        <w:t>), and not much can be done to address that limitation as long as m</w:t>
      </w:r>
      <w:r>
        <w:rPr>
          <w:vertAlign w:val="superscript"/>
        </w:rPr>
        <w:t>5</w:t>
      </w:r>
      <w:r>
        <w:t>C in GpC/CpG contexts is the only available modification.</w:t>
      </w:r>
    </w:p>
    <w:p w:rsidR="003A0C2F" w:rsidRDefault="00F166FB">
      <w:pPr>
        <w:spacing w:after="61"/>
        <w:ind w:left="2108" w:right="725"/>
      </w:pPr>
      <w:r>
        <w:t xml:space="preserve">Second, it is only </w:t>
      </w:r>
      <w:r>
        <w:t xml:space="preserve">possible to analyze fragments no longer than 600 bp due to read-length limitations of short-read sequencers. Even this has been very difficult to achieve, as DNA methylation has traditionally been mapped using bisulfite sequencing, and bisulfite treatment </w:t>
      </w:r>
      <w:r>
        <w:t>severely degrades DNA to lengths considerably shorter than 600 bp. The introduction of the EM-seq method [</w:t>
      </w:r>
      <w:r>
        <w:rPr>
          <w:color w:val="422874"/>
        </w:rPr>
        <w:t>19</w:t>
      </w:r>
      <w:r>
        <w:t>] as an alternative to bisulfite conversion has largely eliminated the degradation issue, but short reads are still short reads, making it impossibl</w:t>
      </w:r>
      <w:r>
        <w:t>e to study chromatin states on the scale of many kilobases along the chromatin fiber.</w:t>
      </w:r>
    </w:p>
    <w:p w:rsidR="003A0C2F" w:rsidRDefault="00F166FB">
      <w:pPr>
        <w:ind w:left="2108" w:right="725"/>
      </w:pPr>
      <w:r>
        <w:t xml:space="preserve">With the advent of long read sequencing technologies, and especially nanopore sequencing, these limitations have been overcome. Nanopore sequencing is capable of reading </w:t>
      </w:r>
      <w:r>
        <w:t>out arbitrary DNA modifications [</w:t>
      </w:r>
      <w:r>
        <w:rPr>
          <w:color w:val="422874"/>
        </w:rPr>
        <w:t>20</w:t>
      </w:r>
      <w:r>
        <w:t xml:space="preserve">, </w:t>
      </w:r>
      <w:r>
        <w:rPr>
          <w:color w:val="422874"/>
        </w:rPr>
        <w:t>21</w:t>
      </w:r>
      <w:r>
        <w:t>], and of doing so along the length of DNA molecules tens of kilobases long, allowing the simultaneous capture of the chromatin states of CREs located far apart. This has enabled the development of a qualitatively new</w:t>
      </w:r>
      <w:r>
        <w:t xml:space="preserve"> class of functional genomic assays [</w:t>
      </w:r>
      <w:r>
        <w:rPr>
          <w:color w:val="422874"/>
        </w:rPr>
        <w:t>22</w:t>
      </w:r>
      <w:r>
        <w:t>–</w:t>
      </w:r>
      <w:r>
        <w:rPr>
          <w:color w:val="422874"/>
        </w:rPr>
        <w:t>24</w:t>
      </w:r>
      <w:r>
        <w:t>]</w:t>
      </w:r>
    </w:p>
    <w:p w:rsidR="003A0C2F" w:rsidRDefault="00F166FB">
      <w:pPr>
        <w:ind w:left="2108" w:right="725"/>
      </w:pPr>
      <w:r>
        <w:t>The MeSMLR-seq[</w:t>
      </w:r>
      <w:r>
        <w:rPr>
          <w:color w:val="422874"/>
        </w:rPr>
        <w:t>23</w:t>
      </w:r>
      <w:r>
        <w:t>] and nanoNOMe [</w:t>
      </w:r>
      <w:r>
        <w:rPr>
          <w:color w:val="422874"/>
        </w:rPr>
        <w:t>24</w:t>
      </w:r>
      <w:r>
        <w:t>] assays have adapted the NOMe-seq approach to nanopore sequencing, using a GpC methyltransferase to label accessible DNA, then reading it out using nanopore sequencing. However</w:t>
      </w:r>
      <w:r>
        <w:t xml:space="preserve">, while this approach preserves long-range contiguity, it still suffers from the limitations imposed by the density of informative modification positions in the genome (Figure </w:t>
      </w:r>
      <w:r>
        <w:rPr>
          <w:color w:val="E4322B"/>
        </w:rPr>
        <w:t>2</w:t>
      </w:r>
      <w:r>
        <w:t>).</w:t>
      </w:r>
    </w:p>
    <w:p w:rsidR="003A0C2F" w:rsidRDefault="00F166FB">
      <w:pPr>
        <w:spacing w:after="57"/>
        <w:ind w:left="2108" w:right="725"/>
      </w:pPr>
      <w:r>
        <w:t>In contrast, SMAC-seq [</w:t>
      </w:r>
      <w:r>
        <w:rPr>
          <w:color w:val="422874"/>
        </w:rPr>
        <w:t>22</w:t>
      </w:r>
      <w:r>
        <w:t>] uses dense modifications, found once every few nu</w:t>
      </w:r>
      <w:r>
        <w:t>cleotides in the genome. Accessible DNA is enzymatically labeled using a methyltransferase enzyme (or multiple such enzymes), highmolecular weight (HMW) DNA is isolated, then subjected to nanopore sequencing, which allows for the direct detection of DNA mo</w:t>
      </w:r>
      <w:r>
        <w:t xml:space="preserve">difications and thus the assembly of an accessibility map at the single </w:t>
      </w:r>
      <w:r>
        <w:lastRenderedPageBreak/>
        <w:t xml:space="preserve">molecule level and on multikilobase scales (Figure </w:t>
      </w:r>
      <w:r>
        <w:rPr>
          <w:color w:val="E4322B"/>
        </w:rPr>
        <w:t>1</w:t>
      </w:r>
      <w:r>
        <w:t>). In addition, the dense modifications that SMAC-seq is based on also provide information about nucleosome occupancy/positioning [</w:t>
      </w:r>
      <w:r>
        <w:rPr>
          <w:color w:val="422874"/>
        </w:rPr>
        <w:t>2</w:t>
      </w:r>
      <w:r>
        <w:rPr>
          <w:color w:val="422874"/>
        </w:rPr>
        <w:t>5</w:t>
      </w:r>
      <w:r>
        <w:t>] and even transcription factor footprints [</w:t>
      </w:r>
      <w:r>
        <w:rPr>
          <w:color w:val="422874"/>
        </w:rPr>
        <w:t>26</w:t>
      </w:r>
      <w:r>
        <w:t xml:space="preserve">, </w:t>
      </w:r>
      <w:r>
        <w:rPr>
          <w:color w:val="422874"/>
        </w:rPr>
        <w:t>27</w:t>
      </w:r>
      <w:r>
        <w:t>]. Finally, the long reads provided by nanopore sequencing allow chromatin accessibility and nucleosome positioning to be profiled within repetitive regions of the genome that are otherwise not uniquely ma</w:t>
      </w:r>
      <w:r>
        <w:t>ppable using short reads.</w:t>
      </w:r>
    </w:p>
    <w:p w:rsidR="003A0C2F" w:rsidRDefault="00F166FB">
      <w:pPr>
        <w:spacing w:after="66"/>
        <w:ind w:left="2108" w:right="725"/>
      </w:pPr>
      <w:r>
        <w:t>Here, we describe an m</w:t>
      </w:r>
      <w:r>
        <w:rPr>
          <w:vertAlign w:val="superscript"/>
        </w:rPr>
        <w:t>6</w:t>
      </w:r>
      <w:r>
        <w:t>A-SMAC-seq protocol based on the m</w:t>
      </w:r>
      <w:r>
        <w:rPr>
          <w:vertAlign w:val="superscript"/>
        </w:rPr>
        <w:t>6</w:t>
      </w:r>
      <w:r>
        <w:t>A (N</w:t>
      </w:r>
      <w:r>
        <w:rPr>
          <w:vertAlign w:val="superscript"/>
        </w:rPr>
        <w:t>6</w:t>
      </w:r>
      <w:r>
        <w:t>Methyladenosine) methyltransferase EcoGII [</w:t>
      </w:r>
      <w:r>
        <w:rPr>
          <w:color w:val="422874"/>
        </w:rPr>
        <w:t>28</w:t>
      </w:r>
      <w:r>
        <w:t>], which labels A bases nonspecifically in all contexts (</w:t>
      </w:r>
      <w:r>
        <w:rPr>
          <w:i/>
        </w:rPr>
        <w:t xml:space="preserve">see </w:t>
      </w:r>
      <w:r>
        <w:rPr>
          <w:b/>
        </w:rPr>
        <w:t xml:space="preserve">Note </w:t>
      </w:r>
      <w:r>
        <w:rPr>
          <w:b/>
          <w:color w:val="E4322B"/>
        </w:rPr>
        <w:t>1</w:t>
      </w:r>
      <w:r>
        <w:t>) as well as a m</w:t>
      </w:r>
      <w:r>
        <w:rPr>
          <w:vertAlign w:val="superscript"/>
        </w:rPr>
        <w:t>6</w:t>
      </w:r>
      <w:r>
        <w:t>A-CpGGpC-SMAC-seq protocol, which uses multiple modifications (m</w:t>
      </w:r>
      <w:r>
        <w:rPr>
          <w:vertAlign w:val="superscript"/>
        </w:rPr>
        <w:t>6</w:t>
      </w:r>
      <w:r>
        <w:t>A and m</w:t>
      </w:r>
      <w:r>
        <w:rPr>
          <w:vertAlign w:val="superscript"/>
        </w:rPr>
        <w:t>5</w:t>
      </w:r>
      <w:r>
        <w:t>C modifications in CpG and GpC contexts) and which can be used in organisms without endogenous DNA methylation.</w:t>
      </w:r>
    </w:p>
    <w:p w:rsidR="003A0C2F" w:rsidRDefault="00F166FB">
      <w:pPr>
        <w:spacing w:after="121"/>
        <w:ind w:left="2108" w:right="725"/>
      </w:pPr>
      <w:r>
        <w:t>We also describe basic data processing and analysis procedures for work</w:t>
      </w:r>
      <w:r>
        <w:t>ing with SMAC-seq datasets.</w:t>
      </w:r>
    </w:p>
    <w:p w:rsidR="003A0C2F" w:rsidRDefault="00F166FB">
      <w:pPr>
        <w:spacing w:after="143" w:line="259" w:lineRule="auto"/>
        <w:ind w:left="0" w:right="0" w:firstLine="0"/>
        <w:jc w:val="left"/>
      </w:pPr>
      <w:r>
        <w:rPr>
          <w:rFonts w:ascii="Calibri" w:eastAsia="Calibri" w:hAnsi="Calibri" w:cs="Calibri"/>
          <w:noProof/>
          <w:sz w:val="22"/>
        </w:rPr>
        <mc:AlternateContent>
          <mc:Choice Requires="wpg">
            <w:drawing>
              <wp:inline distT="0" distB="0" distL="0" distR="0">
                <wp:extent cx="5255997" cy="18974"/>
                <wp:effectExtent l="0" t="0" r="0" b="0"/>
                <wp:docPr id="17946" name="Group 17946"/>
                <wp:cNvGraphicFramePr/>
                <a:graphic xmlns:a="http://schemas.openxmlformats.org/drawingml/2006/main">
                  <a:graphicData uri="http://schemas.microsoft.com/office/word/2010/wordprocessingGroup">
                    <wpg:wgp>
                      <wpg:cNvGrpSpPr/>
                      <wpg:grpSpPr>
                        <a:xfrm>
                          <a:off x="0" y="0"/>
                          <a:ext cx="5255997" cy="18974"/>
                          <a:chOff x="0" y="0"/>
                          <a:chExt cx="5255997" cy="18974"/>
                        </a:xfrm>
                      </wpg:grpSpPr>
                      <wps:wsp>
                        <wps:cNvPr id="29851" name="Shape 29851"/>
                        <wps:cNvSpPr/>
                        <wps:spPr>
                          <a:xfrm>
                            <a:off x="0" y="0"/>
                            <a:ext cx="5255997" cy="18974"/>
                          </a:xfrm>
                          <a:custGeom>
                            <a:avLst/>
                            <a:gdLst/>
                            <a:ahLst/>
                            <a:cxnLst/>
                            <a:rect l="0" t="0" r="0" b="0"/>
                            <a:pathLst>
                              <a:path w="5255997" h="18974">
                                <a:moveTo>
                                  <a:pt x="0" y="0"/>
                                </a:moveTo>
                                <a:lnTo>
                                  <a:pt x="5255997" y="0"/>
                                </a:lnTo>
                                <a:lnTo>
                                  <a:pt x="5255997"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9646F5" id="Group 17946" o:spid="_x0000_s1026" style="width:413.85pt;height:1.5pt;mso-position-horizontal-relative:char;mso-position-vertical-relative:line" coordsize="525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5regIAAF8GAAAOAAAAZHJzL2Uyb0RvYy54bWykVc1u2zAMvg/YOwi+r3aCpmmMJD2sWy/D&#10;VqzdAyiyZBvQHyQlTt5+FG0rRtp1QJuDTVMfKfLjT9Z3RyXJgTvfGr3JZldFRrhmpmp1vcn+PH//&#10;cpsRH6iuqDSab7IT99nd9vOndWdLPjeNkRV3BJxoX3Z2kzUh2DLPPWu4ov7KWK7hUBinaIBPV+eV&#10;ox14VzKfF8VN3hlXWWcY9x609/1htkX/QnAWfgnheSByk0FsAZ8On7v4zLdrWtaO2qZlQxj0HVEo&#10;2mq4NLm6p4GSvWtfuFItc8YbEa6YUbkRomUcc4BsZsVFNg/O7C3mUpddbRNNQO0FT+92y34eHh1p&#10;K6jdcnV9kxFNFZQJbya9CijqbF0C8sHZJ/voBkXdf8Wsj8Kp+IZ8yBHJPSVy+TEQBsrFfLFYrZYZ&#10;YXA2u10tr3vyWQMVemHFmm9v2uXjpXmMLYXSWWgjf2bKf4ypp4ZajgXwMf+BqfnqdjEbmUII6VVI&#10;DCITTb70wNjHOEq50pLtfXjgBsmmhx8+9P1bjRJtRokd9Sg6mII3+9/SEO1ilFEk3aRazViseKrM&#10;gT8bxIWLkkGQ51Opp6hU+bEpADsixrdFf1NkapF/omGep630HxzOesKAEFPdrgcB0wd5SrDUkQm4&#10;hVHYTELSgCOu2gArS7YKmJkvi+LsGLzFBuwrjlI4SR7pkvo3FzBmOBxR4V29+yodOdC4mPCHzqm0&#10;DR20cT4gpAGKMvqJ9qKVMrmcoelrLnsPAzjacdyJybLoLdkQTb8YYb1A0uN6hAiSEd5sdEj2GpY6&#10;hjnJNoo7U51wUSAhMJFIDW4xzGPYuHFNTr8Rdf5f2P4FAAD//wMAUEsDBBQABgAIAAAAIQCKPMS2&#10;2wAAAAMBAAAPAAAAZHJzL2Rvd25yZXYueG1sTI9Pa8JAEMXvhX6HZYTe6iZKVWI2ItL2JAX/QOlt&#10;zI5JMDsbsmsSv323vehl4PEe7/0mXQ2mFh21rrKsIB5HIIhzqysuFBwPH68LEM4ja6wtk4IbOVhl&#10;z08pJtr2vKNu7wsRStglqKD0vkmkdHlJBt3YNsTBO9vWoA+yLaRusQ/lppaTKJpJgxWHhRIb2pSU&#10;X/ZXo+Czx349jd+77eW8uf0c3r6+tzEp9TIa1ksQngZ/D8MffkCHLDCd7JW1E7WC8Ij/v8FbTOZz&#10;ECcF0whklspH9uwXAAD//wMAUEsBAi0AFAAGAAgAAAAhALaDOJL+AAAA4QEAABMAAAAAAAAAAAAA&#10;AAAAAAAAAFtDb250ZW50X1R5cGVzXS54bWxQSwECLQAUAAYACAAAACEAOP0h/9YAAACUAQAACwAA&#10;AAAAAAAAAAAAAAAvAQAAX3JlbHMvLnJlbHNQSwECLQAUAAYACAAAACEAg4bOa3oCAABfBgAADgAA&#10;AAAAAAAAAAAAAAAuAgAAZHJzL2Uyb0RvYy54bWxQSwECLQAUAAYACAAAACEAijzEttsAAAADAQAA&#10;DwAAAAAAAAAAAAAAAADUBAAAZHJzL2Rvd25yZXYueG1sUEsFBgAAAAAEAAQA8wAAANwFAAAAAA==&#10;">
                <v:shape id="Shape 29851" o:spid="_x0000_s1027" style="position:absolute;width:52559;height:189;visibility:visible;mso-wrap-style:square;v-text-anchor:top" coordsize="5255997,1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s+8MA&#10;AADeAAAADwAAAGRycy9kb3ducmV2LnhtbESPQYvCMBSE7wv+h/AEb2uqoNhqFBEE8SJ2RfH2aJ5t&#10;sXkpTdTqrzeCsMdhZr5hZovWVOJOjSstKxj0IxDEmdUl5woOf+vfCQjnkTVWlknBkxws5p2fGSba&#10;PnhP99TnIkDYJaig8L5OpHRZQQZd39bEwbvYxqAPssmlbvAR4KaSwygaS4Mlh4UCa1oVlF3Tm1GQ&#10;Sl4dX2va7PAkHZ+1315fsVK9brucgvDU+v/wt73RCobxZDSAz51wB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7s+8MAAADeAAAADwAAAAAAAAAAAAAAAACYAgAAZHJzL2Rv&#10;d25yZXYueG1sUEsFBgAAAAAEAAQA9QAAAIgDAAAAAA==&#10;" path="m,l5255997,r,18974l,18974,,e" fillcolor="black" stroked="f" strokeweight="0">
                  <v:stroke miterlimit="83231f" joinstyle="miter"/>
                  <v:path arrowok="t" textboxrect="0,0,5255997,18974"/>
                </v:shape>
                <w10:anchorlock/>
              </v:group>
            </w:pict>
          </mc:Fallback>
        </mc:AlternateContent>
      </w:r>
    </w:p>
    <w:p w:rsidR="003A0C2F" w:rsidRDefault="00F166FB">
      <w:pPr>
        <w:numPr>
          <w:ilvl w:val="0"/>
          <w:numId w:val="1"/>
        </w:numPr>
        <w:spacing w:after="0" w:line="265" w:lineRule="auto"/>
        <w:ind w:right="0" w:hanging="230"/>
        <w:jc w:val="left"/>
      </w:pPr>
      <w:r>
        <w:rPr>
          <w:rFonts w:ascii="Calibri" w:eastAsia="Calibri" w:hAnsi="Calibri" w:cs="Calibri"/>
          <w:b/>
        </w:rPr>
        <w:t>Materials</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2098"/>
        <w:gridCol w:w="6179"/>
      </w:tblGrid>
      <w:tr w:rsidR="003A0C2F">
        <w:trPr>
          <w:trHeight w:val="1290"/>
        </w:trPr>
        <w:tc>
          <w:tcPr>
            <w:tcW w:w="2098"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b/>
              </w:rPr>
              <w:t xml:space="preserve">2.1 </w:t>
            </w:r>
            <w:r>
              <w:rPr>
                <w:rFonts w:ascii="Calibri" w:eastAsia="Calibri" w:hAnsi="Calibri" w:cs="Calibri"/>
                <w:b/>
                <w:i/>
              </w:rPr>
              <w:t>SMAC-seq</w:t>
            </w:r>
          </w:p>
        </w:tc>
        <w:tc>
          <w:tcPr>
            <w:tcW w:w="6180" w:type="dxa"/>
            <w:tcBorders>
              <w:top w:val="nil"/>
              <w:left w:val="nil"/>
              <w:bottom w:val="nil"/>
              <w:right w:val="nil"/>
            </w:tcBorders>
          </w:tcPr>
          <w:p w:rsidR="003A0C2F" w:rsidRDefault="00F166FB">
            <w:pPr>
              <w:spacing w:after="0" w:line="259" w:lineRule="auto"/>
              <w:ind w:left="0" w:right="0" w:firstLine="0"/>
            </w:pPr>
            <w:r>
              <w:t>SMAC-seq uses standard laboratory reagents with the exception of the m</w:t>
            </w:r>
            <w:r>
              <w:rPr>
                <w:vertAlign w:val="superscript"/>
              </w:rPr>
              <w:t>6</w:t>
            </w:r>
            <w:r>
              <w:t>A methyltransferase in the m</w:t>
            </w:r>
            <w:r>
              <w:rPr>
                <w:vertAlign w:val="superscript"/>
              </w:rPr>
              <w:t>6</w:t>
            </w:r>
            <w:r>
              <w:t>A version of the assay (</w:t>
            </w:r>
            <w:r>
              <w:rPr>
                <w:i/>
              </w:rPr>
              <w:t xml:space="preserve">see </w:t>
            </w:r>
            <w:r>
              <w:rPr>
                <w:b/>
              </w:rPr>
              <w:t xml:space="preserve">Note </w:t>
            </w:r>
            <w:r>
              <w:rPr>
                <w:b/>
                <w:color w:val="E4322B"/>
              </w:rPr>
              <w:t>2</w:t>
            </w:r>
            <w:r>
              <w:t xml:space="preserve">). </w:t>
            </w:r>
            <w:r>
              <w:t>Other versions of the assay involving different modifications may also require custom reagents.</w:t>
            </w:r>
          </w:p>
        </w:tc>
      </w:tr>
      <w:tr w:rsidR="003A0C2F">
        <w:trPr>
          <w:trHeight w:val="5680"/>
        </w:trPr>
        <w:tc>
          <w:tcPr>
            <w:tcW w:w="2098" w:type="dxa"/>
            <w:tcBorders>
              <w:top w:val="nil"/>
              <w:left w:val="nil"/>
              <w:bottom w:val="nil"/>
              <w:right w:val="nil"/>
            </w:tcBorders>
          </w:tcPr>
          <w:p w:rsidR="003A0C2F" w:rsidRDefault="00F166FB">
            <w:pPr>
              <w:spacing w:after="0" w:line="259" w:lineRule="auto"/>
              <w:ind w:left="0" w:right="1077" w:firstLine="0"/>
              <w:jc w:val="left"/>
            </w:pPr>
            <w:r>
              <w:rPr>
                <w:rFonts w:ascii="Calibri" w:eastAsia="Calibri" w:hAnsi="Calibri" w:cs="Calibri"/>
                <w:b/>
                <w:i/>
              </w:rPr>
              <w:t>buffers and reagents</w:t>
            </w:r>
          </w:p>
        </w:tc>
        <w:tc>
          <w:tcPr>
            <w:tcW w:w="6180" w:type="dxa"/>
            <w:tcBorders>
              <w:top w:val="nil"/>
              <w:left w:val="nil"/>
              <w:bottom w:val="nil"/>
              <w:right w:val="nil"/>
            </w:tcBorders>
          </w:tcPr>
          <w:p w:rsidR="003A0C2F" w:rsidRDefault="00F166FB">
            <w:pPr>
              <w:numPr>
                <w:ilvl w:val="0"/>
                <w:numId w:val="16"/>
              </w:numPr>
              <w:spacing w:after="90" w:line="266" w:lineRule="auto"/>
              <w:ind w:right="0" w:hanging="354"/>
              <w:jc w:val="left"/>
            </w:pPr>
            <w:r>
              <w:t>Nuclei Lysis Buffer: 10 mM Tris pH 7.4, 10 mM NaCl, 3 mM MgCl</w:t>
            </w:r>
            <w:r>
              <w:rPr>
                <w:vertAlign w:val="subscript"/>
              </w:rPr>
              <w:t>2</w:t>
            </w:r>
            <w:r>
              <w:t>, 0.1 mM EDTA, 0.5% NP-40</w:t>
            </w:r>
          </w:p>
          <w:p w:rsidR="003A0C2F" w:rsidRDefault="00F166FB">
            <w:pPr>
              <w:numPr>
                <w:ilvl w:val="0"/>
                <w:numId w:val="16"/>
              </w:numPr>
              <w:spacing w:after="100"/>
              <w:ind w:right="0" w:hanging="354"/>
              <w:jc w:val="left"/>
            </w:pPr>
            <w:r>
              <w:t xml:space="preserve">Nuclei Wash Buffer. This is the same as the Lysis </w:t>
            </w:r>
            <w:r>
              <w:t>Buffer except for the absence of NP-40: 10 mM Tris pH 7.4, 10 mM NaCl, 3 mM MgCl</w:t>
            </w:r>
            <w:r>
              <w:rPr>
                <w:vertAlign w:val="subscript"/>
              </w:rPr>
              <w:t>2</w:t>
            </w:r>
            <w:r>
              <w:t>, 0.1 mM EDTA</w:t>
            </w:r>
          </w:p>
          <w:p w:rsidR="003A0C2F" w:rsidRDefault="00F166FB">
            <w:pPr>
              <w:numPr>
                <w:ilvl w:val="0"/>
                <w:numId w:val="16"/>
              </w:numPr>
              <w:spacing w:after="79" w:line="279" w:lineRule="auto"/>
              <w:ind w:right="0" w:hanging="354"/>
              <w:jc w:val="left"/>
            </w:pPr>
            <w:r>
              <w:t>M.CviPI Reaction Buffer: 50 mM Tris-HCl pH 8.5, 50 mM NaCl, 10 mM DTT,</w:t>
            </w:r>
          </w:p>
          <w:p w:rsidR="003A0C2F" w:rsidRDefault="00F166FB">
            <w:pPr>
              <w:numPr>
                <w:ilvl w:val="0"/>
                <w:numId w:val="16"/>
              </w:numPr>
              <w:spacing w:after="94" w:line="254" w:lineRule="auto"/>
              <w:ind w:right="0" w:hanging="354"/>
              <w:jc w:val="left"/>
            </w:pPr>
            <w:r>
              <w:t>CutSmart Reaction buffer: 1</w:t>
            </w:r>
            <w:r>
              <w:t xml:space="preserve">× </w:t>
            </w:r>
            <w:r>
              <w:t>NEB CutSmart buffer, 0.3 M sucrose</w:t>
            </w:r>
          </w:p>
          <w:p w:rsidR="003A0C2F" w:rsidRDefault="00F166FB">
            <w:pPr>
              <w:numPr>
                <w:ilvl w:val="0"/>
                <w:numId w:val="16"/>
              </w:numPr>
              <w:spacing w:after="94" w:line="254" w:lineRule="auto"/>
              <w:ind w:right="0" w:hanging="354"/>
              <w:jc w:val="left"/>
            </w:pPr>
            <w:r>
              <w:t>Stop Buffer: 20 mM Tris-HCl pH 8.5, 600 mM NaCl, 1% SDS, 10 mM EDTA</w:t>
            </w:r>
          </w:p>
          <w:p w:rsidR="003A0C2F" w:rsidRDefault="00F166FB">
            <w:pPr>
              <w:numPr>
                <w:ilvl w:val="0"/>
                <w:numId w:val="16"/>
              </w:numPr>
              <w:spacing w:after="75" w:line="275" w:lineRule="auto"/>
              <w:ind w:right="0" w:hanging="354"/>
              <w:jc w:val="left"/>
            </w:pPr>
            <w:r>
              <w:t>Sorbitol Buffer: 1.4 M Sorbitol, 40 mM HEPES-KOH pH 7.5, 0.5 mM MgCl</w:t>
            </w:r>
            <w:r>
              <w:rPr>
                <w:vertAlign w:val="subscript"/>
              </w:rPr>
              <w:t>2</w:t>
            </w:r>
          </w:p>
          <w:p w:rsidR="003A0C2F" w:rsidRDefault="00F166FB">
            <w:pPr>
              <w:numPr>
                <w:ilvl w:val="0"/>
                <w:numId w:val="16"/>
              </w:numPr>
              <w:spacing w:after="99" w:line="259" w:lineRule="auto"/>
              <w:ind w:right="0" w:hanging="354"/>
              <w:jc w:val="left"/>
            </w:pPr>
            <w:r>
              <w:t>100T Zymolase (Zymo Cat. # E1005)</w:t>
            </w:r>
          </w:p>
          <w:p w:rsidR="003A0C2F" w:rsidRDefault="00F166FB">
            <w:pPr>
              <w:numPr>
                <w:ilvl w:val="0"/>
                <w:numId w:val="16"/>
              </w:numPr>
              <w:spacing w:after="99" w:line="259" w:lineRule="auto"/>
              <w:ind w:right="0" w:hanging="354"/>
              <w:jc w:val="left"/>
            </w:pPr>
            <w:r>
              <w:t>M.CviPI methyltransferase (NEB Cat. # M0227)</w:t>
            </w:r>
          </w:p>
          <w:p w:rsidR="003A0C2F" w:rsidRDefault="00F166FB">
            <w:pPr>
              <w:numPr>
                <w:ilvl w:val="0"/>
                <w:numId w:val="16"/>
              </w:numPr>
              <w:spacing w:after="99" w:line="259" w:lineRule="auto"/>
              <w:ind w:right="0" w:hanging="354"/>
              <w:jc w:val="left"/>
            </w:pPr>
            <w:r>
              <w:t>EcoGII methyltransferase (NEB Cat. # M0</w:t>
            </w:r>
            <w:r>
              <w:t>603S) (</w:t>
            </w:r>
            <w:r>
              <w:rPr>
                <w:i/>
              </w:rPr>
              <w:t xml:space="preserve">see </w:t>
            </w:r>
            <w:r>
              <w:rPr>
                <w:b/>
              </w:rPr>
              <w:t xml:space="preserve">Note </w:t>
            </w:r>
            <w:r>
              <w:rPr>
                <w:b/>
                <w:color w:val="E4322B"/>
              </w:rPr>
              <w:t>2</w:t>
            </w:r>
            <w:r>
              <w:t>)</w:t>
            </w:r>
          </w:p>
          <w:p w:rsidR="003A0C2F" w:rsidRDefault="00F166FB">
            <w:pPr>
              <w:numPr>
                <w:ilvl w:val="0"/>
                <w:numId w:val="16"/>
              </w:numPr>
              <w:spacing w:after="99" w:line="259" w:lineRule="auto"/>
              <w:ind w:right="0" w:hanging="354"/>
              <w:jc w:val="left"/>
            </w:pPr>
            <w:r>
              <w:t>M.SssI methyltransferase (NEB Cat. # M0226)</w:t>
            </w:r>
          </w:p>
          <w:p w:rsidR="003A0C2F" w:rsidRDefault="00F166FB">
            <w:pPr>
              <w:numPr>
                <w:ilvl w:val="0"/>
                <w:numId w:val="16"/>
              </w:numPr>
              <w:spacing w:after="99" w:line="259" w:lineRule="auto"/>
              <w:ind w:right="0" w:hanging="354"/>
              <w:jc w:val="left"/>
            </w:pPr>
            <w:r>
              <w:t>32 mM S-adenosylmethionine (SAM)</w:t>
            </w:r>
          </w:p>
          <w:p w:rsidR="003A0C2F" w:rsidRDefault="00F166FB">
            <w:pPr>
              <w:numPr>
                <w:ilvl w:val="0"/>
                <w:numId w:val="16"/>
              </w:numPr>
              <w:spacing w:after="110" w:line="259" w:lineRule="auto"/>
              <w:ind w:right="0" w:hanging="354"/>
              <w:jc w:val="left"/>
            </w:pPr>
            <w:r>
              <w:t>Sucrose solution (prepare a highly concentrated solution, e.g. 2 M)</w:t>
            </w:r>
          </w:p>
          <w:p w:rsidR="003A0C2F" w:rsidRDefault="00F166FB">
            <w:pPr>
              <w:numPr>
                <w:ilvl w:val="0"/>
                <w:numId w:val="16"/>
              </w:numPr>
              <w:spacing w:after="0" w:line="259" w:lineRule="auto"/>
              <w:ind w:right="0" w:hanging="354"/>
              <w:jc w:val="left"/>
            </w:pPr>
            <w:r>
              <w:lastRenderedPageBreak/>
              <w:t>Molecular biology-grade 1 M MgCl</w:t>
            </w:r>
            <w:r>
              <w:rPr>
                <w:vertAlign w:val="subscript"/>
              </w:rPr>
              <w:t xml:space="preserve">2 </w:t>
            </w:r>
            <w:r>
              <w:t>solution</w:t>
            </w:r>
          </w:p>
        </w:tc>
      </w:tr>
    </w:tbl>
    <w:p w:rsidR="003A0C2F" w:rsidRDefault="00F166FB">
      <w:pPr>
        <w:spacing w:after="0" w:line="265" w:lineRule="auto"/>
        <w:ind w:left="-5" w:right="0"/>
        <w:jc w:val="left"/>
      </w:pPr>
      <w:r>
        <w:rPr>
          <w:rFonts w:ascii="Calibri" w:eastAsia="Calibri" w:hAnsi="Calibri" w:cs="Calibri"/>
          <w:b/>
        </w:rPr>
        <w:lastRenderedPageBreak/>
        <w:t xml:space="preserve">2.2 </w:t>
      </w:r>
      <w:r>
        <w:rPr>
          <w:rFonts w:ascii="Calibri" w:eastAsia="Calibri" w:hAnsi="Calibri" w:cs="Calibri"/>
          <w:b/>
          <w:i/>
        </w:rPr>
        <w:t>HMW</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1460"/>
        <w:gridCol w:w="638"/>
        <w:gridCol w:w="6179"/>
      </w:tblGrid>
      <w:tr w:rsidR="003A0C2F">
        <w:trPr>
          <w:trHeight w:val="1290"/>
        </w:trPr>
        <w:tc>
          <w:tcPr>
            <w:tcW w:w="2098" w:type="dxa"/>
            <w:gridSpan w:val="2"/>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t>DNA</w:t>
            </w:r>
          </w:p>
          <w:p w:rsidR="003A0C2F" w:rsidRDefault="00F166FB">
            <w:pPr>
              <w:spacing w:after="553" w:line="259" w:lineRule="auto"/>
              <w:ind w:left="0" w:right="0" w:firstLine="0"/>
              <w:jc w:val="left"/>
            </w:pPr>
            <w:r>
              <w:rPr>
                <w:rFonts w:ascii="Calibri" w:eastAsia="Calibri" w:hAnsi="Calibri" w:cs="Calibri"/>
                <w:b/>
                <w:i/>
              </w:rPr>
              <w:t>isolation</w:t>
            </w:r>
          </w:p>
          <w:p w:rsidR="003A0C2F" w:rsidRDefault="00F166FB">
            <w:pPr>
              <w:spacing w:after="0" w:line="259" w:lineRule="auto"/>
              <w:ind w:left="0" w:right="0" w:firstLine="0"/>
              <w:jc w:val="left"/>
            </w:pPr>
            <w:r>
              <w:rPr>
                <w:rFonts w:ascii="Calibri" w:eastAsia="Calibri" w:hAnsi="Calibri" w:cs="Calibri"/>
                <w:b/>
              </w:rPr>
              <w:t xml:space="preserve">2.3 </w:t>
            </w:r>
            <w:r>
              <w:rPr>
                <w:rFonts w:ascii="Calibri" w:eastAsia="Calibri" w:hAnsi="Calibri" w:cs="Calibri"/>
                <w:b/>
                <w:i/>
              </w:rPr>
              <w:t>HMW DNA</w:t>
            </w:r>
          </w:p>
        </w:tc>
        <w:tc>
          <w:tcPr>
            <w:tcW w:w="6180" w:type="dxa"/>
            <w:tcBorders>
              <w:top w:val="nil"/>
              <w:left w:val="nil"/>
              <w:bottom w:val="nil"/>
              <w:right w:val="nil"/>
            </w:tcBorders>
          </w:tcPr>
          <w:p w:rsidR="003A0C2F" w:rsidRDefault="00F166FB">
            <w:pPr>
              <w:spacing w:after="0" w:line="259" w:lineRule="auto"/>
              <w:ind w:left="0" w:right="0" w:firstLine="0"/>
            </w:pPr>
            <w:r>
              <w:t>We have most often used the MagAttract HMW DNA Kit (Qiagen ), but other approaches for isolating HMW can also be applied, such as the NEB Monarch Genomic DNA Purification Kit, the Nanobind CBB Big DNA Kit, and others.</w:t>
            </w:r>
          </w:p>
        </w:tc>
      </w:tr>
      <w:tr w:rsidR="003A0C2F">
        <w:trPr>
          <w:trHeight w:val="1275"/>
        </w:trPr>
        <w:tc>
          <w:tcPr>
            <w:tcW w:w="1460" w:type="dxa"/>
            <w:tcBorders>
              <w:top w:val="nil"/>
              <w:left w:val="nil"/>
              <w:bottom w:val="nil"/>
              <w:right w:val="nil"/>
            </w:tcBorders>
          </w:tcPr>
          <w:p w:rsidR="003A0C2F" w:rsidRDefault="00F166FB">
            <w:pPr>
              <w:spacing w:after="577" w:line="236" w:lineRule="auto"/>
              <w:ind w:left="0" w:right="218" w:firstLine="0"/>
              <w:jc w:val="left"/>
            </w:pPr>
            <w:r>
              <w:rPr>
                <w:rFonts w:ascii="Calibri" w:eastAsia="Calibri" w:hAnsi="Calibri" w:cs="Calibri"/>
                <w:b/>
                <w:i/>
              </w:rPr>
              <w:t>size selection</w:t>
            </w:r>
          </w:p>
          <w:p w:rsidR="003A0C2F" w:rsidRDefault="00F166FB">
            <w:pPr>
              <w:spacing w:after="0" w:line="259" w:lineRule="auto"/>
              <w:ind w:left="0" w:right="0" w:firstLine="0"/>
              <w:jc w:val="left"/>
            </w:pPr>
            <w:r>
              <w:rPr>
                <w:rFonts w:ascii="Calibri" w:eastAsia="Calibri" w:hAnsi="Calibri" w:cs="Calibri"/>
                <w:b/>
              </w:rPr>
              <w:t xml:space="preserve">2.4 </w:t>
            </w:r>
            <w:r>
              <w:rPr>
                <w:rFonts w:ascii="Calibri" w:eastAsia="Calibri" w:hAnsi="Calibri" w:cs="Calibri"/>
                <w:b/>
                <w:i/>
              </w:rPr>
              <w:t>Nanopore</w:t>
            </w:r>
          </w:p>
        </w:tc>
        <w:tc>
          <w:tcPr>
            <w:tcW w:w="638" w:type="dxa"/>
            <w:tcBorders>
              <w:top w:val="nil"/>
              <w:left w:val="nil"/>
              <w:bottom w:val="nil"/>
              <w:right w:val="nil"/>
            </w:tcBorders>
          </w:tcPr>
          <w:p w:rsidR="003A0C2F" w:rsidRDefault="003A0C2F">
            <w:pPr>
              <w:spacing w:after="160" w:line="259" w:lineRule="auto"/>
              <w:ind w:left="0" w:right="0" w:firstLine="0"/>
              <w:jc w:val="left"/>
            </w:pPr>
          </w:p>
        </w:tc>
        <w:tc>
          <w:tcPr>
            <w:tcW w:w="6180" w:type="dxa"/>
            <w:tcBorders>
              <w:top w:val="nil"/>
              <w:left w:val="nil"/>
              <w:bottom w:val="nil"/>
              <w:right w:val="nil"/>
            </w:tcBorders>
          </w:tcPr>
          <w:p w:rsidR="003A0C2F" w:rsidRDefault="00F166FB">
            <w:pPr>
              <w:spacing w:after="0" w:line="259" w:lineRule="auto"/>
              <w:ind w:left="0" w:right="0" w:firstLine="0"/>
            </w:pPr>
            <w:r>
              <w:t>Several solutions now also exist for HMW size selection that eliminates shorter fragments. We have used the Short Read Eliminator Kit (Circulomics) with fairly consistent levels of success, but equivalent approaches are also applicable.</w:t>
            </w:r>
          </w:p>
        </w:tc>
      </w:tr>
      <w:tr w:rsidR="003A0C2F">
        <w:trPr>
          <w:trHeight w:val="1753"/>
        </w:trPr>
        <w:tc>
          <w:tcPr>
            <w:tcW w:w="1460" w:type="dxa"/>
            <w:tcBorders>
              <w:top w:val="nil"/>
              <w:left w:val="nil"/>
              <w:bottom w:val="nil"/>
              <w:right w:val="nil"/>
            </w:tcBorders>
          </w:tcPr>
          <w:p w:rsidR="003A0C2F" w:rsidRDefault="00F166FB">
            <w:pPr>
              <w:spacing w:after="1055" w:line="236" w:lineRule="auto"/>
              <w:ind w:left="0" w:right="0" w:firstLine="0"/>
              <w:jc w:val="left"/>
            </w:pPr>
            <w:r>
              <w:rPr>
                <w:rFonts w:ascii="Calibri" w:eastAsia="Calibri" w:hAnsi="Calibri" w:cs="Calibri"/>
                <w:b/>
                <w:i/>
              </w:rPr>
              <w:t>sequencers flowcells</w:t>
            </w:r>
          </w:p>
          <w:p w:rsidR="003A0C2F" w:rsidRDefault="00F166FB">
            <w:pPr>
              <w:spacing w:after="0" w:line="259" w:lineRule="auto"/>
              <w:ind w:left="0" w:right="0" w:firstLine="0"/>
              <w:jc w:val="left"/>
            </w:pPr>
            <w:r>
              <w:rPr>
                <w:rFonts w:ascii="Calibri" w:eastAsia="Calibri" w:hAnsi="Calibri" w:cs="Calibri"/>
                <w:b/>
              </w:rPr>
              <w:t xml:space="preserve">2.5 </w:t>
            </w:r>
            <w:r>
              <w:rPr>
                <w:rFonts w:ascii="Calibri" w:eastAsia="Calibri" w:hAnsi="Calibri" w:cs="Calibri"/>
                <w:b/>
                <w:i/>
              </w:rPr>
              <w:t>Nanopore</w:t>
            </w:r>
          </w:p>
        </w:tc>
        <w:tc>
          <w:tcPr>
            <w:tcW w:w="63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t>and</w:t>
            </w:r>
          </w:p>
        </w:tc>
        <w:tc>
          <w:tcPr>
            <w:tcW w:w="6180" w:type="dxa"/>
            <w:tcBorders>
              <w:top w:val="nil"/>
              <w:left w:val="nil"/>
              <w:bottom w:val="nil"/>
              <w:right w:val="nil"/>
            </w:tcBorders>
          </w:tcPr>
          <w:p w:rsidR="003A0C2F" w:rsidRDefault="00F166FB">
            <w:pPr>
              <w:spacing w:after="0" w:line="259" w:lineRule="auto"/>
              <w:ind w:left="0" w:right="0" w:firstLine="0"/>
            </w:pPr>
            <w:r>
              <w:t>SMAC-seq data can be generated using any of the Oxford Nanopore Technologies (ONT) platforms (Flongle, MinION, GridION or PromethION). Which one to use is a decision to be made on the basis of the desired output, which</w:t>
            </w:r>
            <w:r>
              <w:t xml:space="preserve"> in turn is determined by the needed coverage based on genome size, the properties of the genome studied, etc. (</w:t>
            </w:r>
            <w:r>
              <w:rPr>
                <w:i/>
              </w:rPr>
              <w:t xml:space="preserve">see </w:t>
            </w:r>
            <w:r>
              <w:rPr>
                <w:b/>
              </w:rPr>
              <w:t xml:space="preserve">Note </w:t>
            </w:r>
            <w:r>
              <w:rPr>
                <w:b/>
                <w:color w:val="E4322B"/>
              </w:rPr>
              <w:t xml:space="preserve">4 </w:t>
            </w:r>
            <w:r>
              <w:t xml:space="preserve">and </w:t>
            </w:r>
            <w:r>
              <w:rPr>
                <w:b/>
              </w:rPr>
              <w:t xml:space="preserve">Note </w:t>
            </w:r>
            <w:r>
              <w:rPr>
                <w:b/>
                <w:color w:val="E4322B"/>
              </w:rPr>
              <w:t>5</w:t>
            </w:r>
            <w:r>
              <w:t>).</w:t>
            </w:r>
          </w:p>
        </w:tc>
      </w:tr>
      <w:tr w:rsidR="003A0C2F">
        <w:trPr>
          <w:trHeight w:val="4025"/>
        </w:trPr>
        <w:tc>
          <w:tcPr>
            <w:tcW w:w="1460" w:type="dxa"/>
            <w:tcBorders>
              <w:top w:val="nil"/>
              <w:left w:val="nil"/>
              <w:bottom w:val="nil"/>
              <w:right w:val="nil"/>
            </w:tcBorders>
          </w:tcPr>
          <w:p w:rsidR="003A0C2F" w:rsidRDefault="00F166FB">
            <w:pPr>
              <w:spacing w:after="3326" w:line="236" w:lineRule="auto"/>
              <w:ind w:left="0" w:right="0" w:firstLine="0"/>
              <w:jc w:val="left"/>
            </w:pPr>
            <w:r>
              <w:rPr>
                <w:rFonts w:ascii="Calibri" w:eastAsia="Calibri" w:hAnsi="Calibri" w:cs="Calibri"/>
                <w:b/>
                <w:i/>
              </w:rPr>
              <w:lastRenderedPageBreak/>
              <w:t>sequencing reagents</w:t>
            </w:r>
          </w:p>
          <w:p w:rsidR="003A0C2F" w:rsidRDefault="00F166FB">
            <w:pPr>
              <w:spacing w:after="0" w:line="259" w:lineRule="auto"/>
              <w:ind w:left="0" w:right="0" w:firstLine="0"/>
              <w:jc w:val="left"/>
            </w:pPr>
            <w:r>
              <w:rPr>
                <w:rFonts w:ascii="Calibri" w:eastAsia="Calibri" w:hAnsi="Calibri" w:cs="Calibri"/>
                <w:b/>
              </w:rPr>
              <w:t xml:space="preserve">2.6 </w:t>
            </w:r>
            <w:r>
              <w:rPr>
                <w:rFonts w:ascii="Calibri" w:eastAsia="Calibri" w:hAnsi="Calibri" w:cs="Calibri"/>
                <w:b/>
                <w:i/>
              </w:rPr>
              <w:t>General</w:t>
            </w:r>
          </w:p>
        </w:tc>
        <w:tc>
          <w:tcPr>
            <w:tcW w:w="638" w:type="dxa"/>
            <w:tcBorders>
              <w:top w:val="nil"/>
              <w:left w:val="nil"/>
              <w:bottom w:val="nil"/>
              <w:right w:val="nil"/>
            </w:tcBorders>
          </w:tcPr>
          <w:p w:rsidR="003A0C2F" w:rsidRDefault="003A0C2F">
            <w:pPr>
              <w:spacing w:after="160" w:line="259" w:lineRule="auto"/>
              <w:ind w:left="0" w:right="0" w:firstLine="0"/>
              <w:jc w:val="left"/>
            </w:pPr>
          </w:p>
        </w:tc>
        <w:tc>
          <w:tcPr>
            <w:tcW w:w="6180" w:type="dxa"/>
            <w:tcBorders>
              <w:top w:val="nil"/>
              <w:left w:val="nil"/>
              <w:bottom w:val="nil"/>
              <w:right w:val="nil"/>
            </w:tcBorders>
          </w:tcPr>
          <w:p w:rsidR="003A0C2F" w:rsidRDefault="00F166FB">
            <w:pPr>
              <w:spacing w:after="104" w:line="244" w:lineRule="auto"/>
              <w:ind w:left="0" w:right="0" w:firstLine="0"/>
              <w:jc w:val="left"/>
            </w:pPr>
            <w:r>
              <w:t>ONT offers a variety of library preparation options, the two main ones relevant to SMAC-seq being:</w:t>
            </w:r>
          </w:p>
          <w:p w:rsidR="003A0C2F" w:rsidRDefault="00F166FB">
            <w:pPr>
              <w:numPr>
                <w:ilvl w:val="0"/>
                <w:numId w:val="17"/>
              </w:numPr>
              <w:spacing w:line="261" w:lineRule="auto"/>
              <w:ind w:left="439" w:right="0" w:hanging="255"/>
            </w:pPr>
            <w:r>
              <w:t xml:space="preserve">The Ligation Sequencing Kits (Cat # SQK-LSK109 and SQKLSK109-XL) are to be used if maximum read length is desired. These require </w:t>
            </w:r>
            <w:r>
              <w:t>∼</w:t>
            </w:r>
            <w:r>
              <w:t>1000 ng of input HMW DNA.</w:t>
            </w:r>
          </w:p>
          <w:p w:rsidR="003A0C2F" w:rsidRDefault="00F166FB">
            <w:pPr>
              <w:numPr>
                <w:ilvl w:val="0"/>
                <w:numId w:val="17"/>
              </w:numPr>
              <w:spacing w:after="202" w:line="251" w:lineRule="auto"/>
              <w:ind w:left="439" w:right="0" w:hanging="255"/>
            </w:pPr>
            <w:r>
              <w:t>The Rapid Barcoding Kit (Cat # SQK-RBK004) uses a transposases to simultaneously fragment DNA and attach adapters to the resulting pieces. Thus it will yield shorter molecules (</w:t>
            </w:r>
            <w:r>
              <w:t>≤∼</w:t>
            </w:r>
            <w:r>
              <w:t xml:space="preserve">10 kbp) but it allows the pooling of multiple samples in the same run (which </w:t>
            </w:r>
            <w:r>
              <w:t>is useful if, for example, working with an organism with a small genome and on a PromethION) and works with smaller amount of input HMW DNA (</w:t>
            </w:r>
            <w:r>
              <w:t>∼</w:t>
            </w:r>
            <w:r>
              <w:t>400 ng).</w:t>
            </w:r>
          </w:p>
          <w:p w:rsidR="003A0C2F" w:rsidRDefault="00F166FB">
            <w:pPr>
              <w:spacing w:after="0" w:line="259" w:lineRule="auto"/>
              <w:ind w:left="0" w:right="0" w:firstLine="0"/>
            </w:pPr>
            <w:r>
              <w:t>Which kit is to be used depends on what the optimal choice is with respect to the particular research que</w:t>
            </w:r>
            <w:r>
              <w:t>stion and experimental system.</w:t>
            </w:r>
          </w:p>
        </w:tc>
      </w:tr>
      <w:tr w:rsidR="003A0C2F">
        <w:trPr>
          <w:trHeight w:val="493"/>
        </w:trPr>
        <w:tc>
          <w:tcPr>
            <w:tcW w:w="1460"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t>materials and equipment</w:t>
            </w:r>
          </w:p>
        </w:tc>
        <w:tc>
          <w:tcPr>
            <w:tcW w:w="638" w:type="dxa"/>
            <w:tcBorders>
              <w:top w:val="nil"/>
              <w:left w:val="nil"/>
              <w:bottom w:val="nil"/>
              <w:right w:val="nil"/>
            </w:tcBorders>
          </w:tcPr>
          <w:p w:rsidR="003A0C2F" w:rsidRDefault="003A0C2F">
            <w:pPr>
              <w:spacing w:after="160" w:line="259" w:lineRule="auto"/>
              <w:ind w:left="0" w:right="0" w:firstLine="0"/>
              <w:jc w:val="left"/>
            </w:pPr>
          </w:p>
        </w:tc>
        <w:tc>
          <w:tcPr>
            <w:tcW w:w="6180" w:type="dxa"/>
            <w:tcBorders>
              <w:top w:val="nil"/>
              <w:left w:val="nil"/>
              <w:bottom w:val="nil"/>
              <w:right w:val="nil"/>
            </w:tcBorders>
          </w:tcPr>
          <w:p w:rsidR="003A0C2F" w:rsidRDefault="00F166FB">
            <w:pPr>
              <w:spacing w:after="0" w:line="259" w:lineRule="auto"/>
              <w:ind w:left="439" w:right="0" w:hanging="255"/>
            </w:pPr>
            <w:r>
              <w:t>1. 1.5-mL microcentrifuge tubes, preferably low protein and DNA binding (</w:t>
            </w:r>
            <w:r>
              <w:rPr>
                <w:i/>
              </w:rPr>
              <w:t xml:space="preserve">see </w:t>
            </w:r>
            <w:r>
              <w:rPr>
                <w:b/>
              </w:rPr>
              <w:t xml:space="preserve">Note </w:t>
            </w:r>
            <w:r>
              <w:rPr>
                <w:b/>
                <w:color w:val="E4322B"/>
              </w:rPr>
              <w:t>6</w:t>
            </w:r>
            <w:r>
              <w:t>)</w:t>
            </w:r>
          </w:p>
        </w:tc>
      </w:tr>
    </w:tbl>
    <w:p w:rsidR="003A0C2F" w:rsidRDefault="00F166FB">
      <w:pPr>
        <w:numPr>
          <w:ilvl w:val="1"/>
          <w:numId w:val="1"/>
        </w:numPr>
        <w:ind w:right="725" w:hanging="354"/>
      </w:pPr>
      <w:r>
        <w:t>2-mL, 15-mL and 50-mL tubes</w:t>
      </w:r>
    </w:p>
    <w:p w:rsidR="003A0C2F" w:rsidRDefault="00F166FB">
      <w:pPr>
        <w:numPr>
          <w:ilvl w:val="1"/>
          <w:numId w:val="1"/>
        </w:numPr>
        <w:spacing w:after="94" w:line="260" w:lineRule="auto"/>
        <w:ind w:right="725" w:hanging="354"/>
      </w:pPr>
      <w:r>
        <w:t>Magnetic stands r 1.5 mL and 2 mL tubes</w:t>
      </w:r>
    </w:p>
    <w:p w:rsidR="003A0C2F" w:rsidRDefault="00F166FB">
      <w:pPr>
        <w:numPr>
          <w:ilvl w:val="1"/>
          <w:numId w:val="1"/>
        </w:numPr>
        <w:ind w:right="725" w:hanging="354"/>
      </w:pPr>
      <w:r>
        <w:t>Thermomixer</w:t>
      </w:r>
    </w:p>
    <w:p w:rsidR="003A0C2F" w:rsidRDefault="00F166FB">
      <w:pPr>
        <w:numPr>
          <w:ilvl w:val="1"/>
          <w:numId w:val="1"/>
        </w:numPr>
        <w:spacing w:after="94" w:line="260" w:lineRule="auto"/>
        <w:ind w:right="725" w:hanging="354"/>
      </w:pPr>
      <w:r>
        <w:t>Molecular biology-grade 200 proof EtOH</w:t>
      </w:r>
    </w:p>
    <w:p w:rsidR="003A0C2F" w:rsidRDefault="00F166FB">
      <w:pPr>
        <w:numPr>
          <w:ilvl w:val="1"/>
          <w:numId w:val="1"/>
        </w:numPr>
        <w:ind w:right="725" w:hanging="354"/>
      </w:pPr>
      <w:r>
        <w:t>Tabletop centrifuge</w:t>
      </w:r>
    </w:p>
    <w:p w:rsidR="003A0C2F" w:rsidRDefault="00F166FB">
      <w:pPr>
        <w:numPr>
          <w:ilvl w:val="1"/>
          <w:numId w:val="1"/>
        </w:numPr>
        <w:ind w:right="725" w:hanging="354"/>
      </w:pPr>
      <w:r>
        <w:t>Nuclease-free H</w:t>
      </w:r>
      <w:r>
        <w:rPr>
          <w:vertAlign w:val="subscript"/>
        </w:rPr>
        <w:t>2</w:t>
      </w:r>
      <w:r>
        <w:t>O</w:t>
      </w:r>
    </w:p>
    <w:p w:rsidR="003A0C2F" w:rsidRDefault="00F166FB">
      <w:pPr>
        <w:numPr>
          <w:ilvl w:val="1"/>
          <w:numId w:val="1"/>
        </w:numPr>
        <w:ind w:right="725" w:hanging="354"/>
      </w:pPr>
      <w:r>
        <w:t>1</w:t>
      </w:r>
      <w:r>
        <w:t xml:space="preserve">× </w:t>
      </w:r>
      <w:r>
        <w:t>PBS</w:t>
      </w:r>
    </w:p>
    <w:p w:rsidR="003A0C2F" w:rsidRDefault="00F166FB">
      <w:pPr>
        <w:numPr>
          <w:ilvl w:val="1"/>
          <w:numId w:val="1"/>
        </w:numPr>
        <w:ind w:right="725" w:hanging="354"/>
      </w:pPr>
      <w:r>
        <w:t>AMPure beads</w:t>
      </w:r>
    </w:p>
    <w:p w:rsidR="003A0C2F" w:rsidRDefault="00F166FB">
      <w:pPr>
        <w:numPr>
          <w:ilvl w:val="1"/>
          <w:numId w:val="1"/>
        </w:numPr>
        <w:ind w:right="725" w:hanging="354"/>
      </w:pPr>
      <w:r>
        <w:t>QuBit fluorometer (ThermoFisher Scientific) or equivalent</w:t>
      </w:r>
    </w:p>
    <w:p w:rsidR="003A0C2F" w:rsidRDefault="00F166FB">
      <w:pPr>
        <w:numPr>
          <w:ilvl w:val="1"/>
          <w:numId w:val="1"/>
        </w:numPr>
        <w:spacing w:after="94" w:line="260" w:lineRule="auto"/>
        <w:ind w:right="725" w:hanging="354"/>
      </w:pPr>
      <w:r>
        <w:t>QuBit dsDNA HS kit (ThermoFisher Scientific)</w:t>
      </w:r>
    </w:p>
    <w:p w:rsidR="003A0C2F" w:rsidRDefault="00F166FB">
      <w:pPr>
        <w:numPr>
          <w:ilvl w:val="1"/>
          <w:numId w:val="1"/>
        </w:numPr>
        <w:ind w:right="725" w:hanging="354"/>
      </w:pPr>
      <w:r>
        <w:t>TapeStation (Agilent)</w:t>
      </w:r>
    </w:p>
    <w:p w:rsidR="003A0C2F" w:rsidRDefault="00F166FB">
      <w:pPr>
        <w:numPr>
          <w:ilvl w:val="1"/>
          <w:numId w:val="1"/>
        </w:numPr>
        <w:spacing w:after="94" w:line="260" w:lineRule="auto"/>
        <w:ind w:right="725" w:hanging="354"/>
      </w:pPr>
      <w:r>
        <w:t>TapeStation Genomic DNA Reagents (Agilent)</w:t>
      </w:r>
    </w:p>
    <w:p w:rsidR="003A0C2F" w:rsidRDefault="00F166FB">
      <w:pPr>
        <w:numPr>
          <w:ilvl w:val="1"/>
          <w:numId w:val="1"/>
        </w:numPr>
        <w:spacing w:after="299"/>
        <w:ind w:right="725" w:hanging="354"/>
      </w:pPr>
      <w:r>
        <w:t>TapeStation Genomic DNA Screentape (Agilent)</w:t>
      </w:r>
    </w:p>
    <w:p w:rsidR="003A0C2F" w:rsidRDefault="00F166FB">
      <w:pPr>
        <w:pStyle w:val="Heading2"/>
        <w:ind w:left="-5" w:right="2579"/>
      </w:pPr>
      <w:r>
        <w:rPr>
          <w:i w:val="0"/>
        </w:rPr>
        <w:t xml:space="preserve">2.7 </w:t>
      </w:r>
      <w:r>
        <w:t>Computational</w:t>
      </w:r>
    </w:p>
    <w:p w:rsidR="003A0C2F" w:rsidRDefault="00F166FB">
      <w:pPr>
        <w:tabs>
          <w:tab w:val="center" w:pos="5187"/>
        </w:tabs>
        <w:spacing w:after="3"/>
        <w:ind w:left="0" w:right="0" w:firstLine="0"/>
        <w:jc w:val="left"/>
      </w:pPr>
      <w:r>
        <w:rPr>
          <w:rFonts w:ascii="Calibri" w:eastAsia="Calibri" w:hAnsi="Calibri" w:cs="Calibri"/>
          <w:b/>
          <w:i/>
        </w:rPr>
        <w:t>resources</w:t>
      </w:r>
      <w:r>
        <w:rPr>
          <w:rFonts w:ascii="Calibri" w:eastAsia="Calibri" w:hAnsi="Calibri" w:cs="Calibri"/>
          <w:b/>
          <w:i/>
        </w:rPr>
        <w:tab/>
      </w:r>
      <w:r>
        <w:t>The computational analyses described are designed to run on standard</w:t>
      </w:r>
    </w:p>
    <w:tbl>
      <w:tblPr>
        <w:tblStyle w:val="TableGrid"/>
        <w:tblW w:w="8424" w:type="dxa"/>
        <w:tblInd w:w="0" w:type="dxa"/>
        <w:tblCellMar>
          <w:top w:w="0" w:type="dxa"/>
          <w:left w:w="0" w:type="dxa"/>
          <w:bottom w:w="0" w:type="dxa"/>
          <w:right w:w="0" w:type="dxa"/>
        </w:tblCellMar>
        <w:tblLook w:val="04A0" w:firstRow="1" w:lastRow="0" w:firstColumn="1" w:lastColumn="0" w:noHBand="0" w:noVBand="1"/>
      </w:tblPr>
      <w:tblGrid>
        <w:gridCol w:w="2098"/>
        <w:gridCol w:w="6326"/>
      </w:tblGrid>
      <w:tr w:rsidR="003A0C2F">
        <w:trPr>
          <w:trHeight w:val="1528"/>
        </w:trPr>
        <w:tc>
          <w:tcPr>
            <w:tcW w:w="2098"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b/>
              </w:rPr>
              <w:t xml:space="preserve">2.8 </w:t>
            </w:r>
            <w:r>
              <w:rPr>
                <w:rFonts w:ascii="Calibri" w:eastAsia="Calibri" w:hAnsi="Calibri" w:cs="Calibri"/>
                <w:b/>
                <w:i/>
              </w:rPr>
              <w:t>Genomic</w:t>
            </w:r>
          </w:p>
        </w:tc>
        <w:tc>
          <w:tcPr>
            <w:tcW w:w="6327" w:type="dxa"/>
            <w:tcBorders>
              <w:top w:val="nil"/>
              <w:left w:val="nil"/>
              <w:bottom w:val="nil"/>
              <w:right w:val="nil"/>
            </w:tcBorders>
          </w:tcPr>
          <w:p w:rsidR="003A0C2F" w:rsidRDefault="00F166FB">
            <w:pPr>
              <w:spacing w:after="0" w:line="259" w:lineRule="auto"/>
              <w:ind w:left="0" w:right="147" w:firstLine="0"/>
            </w:pPr>
            <w:r>
              <w:t>Linux systems through the UNIX command line. The maximal me</w:t>
            </w:r>
            <w:r>
              <w:t xml:space="preserve">mory usage depends on the size of the datasets but is usually less than </w:t>
            </w:r>
            <w:r>
              <w:t>∼</w:t>
            </w:r>
            <w:r>
              <w:t>50GB. However, note that nanopore sequencing datasets can occupy very large amounts of disk space (i.e. many terabytes), thus it is advisable to use a computing system with ample stor</w:t>
            </w:r>
            <w:r>
              <w:t>age (</w:t>
            </w:r>
            <w:r>
              <w:rPr>
                <w:i/>
              </w:rPr>
              <w:t xml:space="preserve">see </w:t>
            </w:r>
            <w:r>
              <w:rPr>
                <w:b/>
              </w:rPr>
              <w:t xml:space="preserve">Note </w:t>
            </w:r>
            <w:r>
              <w:rPr>
                <w:b/>
                <w:color w:val="E4322B"/>
              </w:rPr>
              <w:t>8</w:t>
            </w:r>
            <w:r>
              <w:t>)</w:t>
            </w:r>
          </w:p>
        </w:tc>
      </w:tr>
      <w:tr w:rsidR="003A0C2F">
        <w:trPr>
          <w:trHeight w:val="4848"/>
        </w:trPr>
        <w:tc>
          <w:tcPr>
            <w:tcW w:w="209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lastRenderedPageBreak/>
              <w:t>sequence and</w:t>
            </w:r>
          </w:p>
          <w:p w:rsidR="003A0C2F" w:rsidRDefault="00F166FB">
            <w:pPr>
              <w:spacing w:after="0" w:line="259" w:lineRule="auto"/>
              <w:ind w:left="0" w:right="348" w:firstLine="0"/>
            </w:pPr>
            <w:r>
              <w:rPr>
                <w:rFonts w:ascii="Calibri" w:eastAsia="Calibri" w:hAnsi="Calibri" w:cs="Calibri"/>
                <w:b/>
                <w:i/>
              </w:rPr>
              <w:t xml:space="preserve">annotation files </w:t>
            </w:r>
            <w:r>
              <w:rPr>
                <w:rFonts w:ascii="Calibri" w:eastAsia="Calibri" w:hAnsi="Calibri" w:cs="Calibri"/>
                <w:b/>
              </w:rPr>
              <w:t xml:space="preserve">2.9 </w:t>
            </w:r>
            <w:r>
              <w:rPr>
                <w:rFonts w:ascii="Calibri" w:eastAsia="Calibri" w:hAnsi="Calibri" w:cs="Calibri"/>
                <w:b/>
                <w:i/>
              </w:rPr>
              <w:t>Software</w:t>
            </w:r>
          </w:p>
        </w:tc>
        <w:tc>
          <w:tcPr>
            <w:tcW w:w="6327" w:type="dxa"/>
            <w:tcBorders>
              <w:top w:val="nil"/>
              <w:left w:val="nil"/>
              <w:bottom w:val="nil"/>
              <w:right w:val="nil"/>
            </w:tcBorders>
          </w:tcPr>
          <w:p w:rsidR="003A0C2F" w:rsidRDefault="00F166FB">
            <w:pPr>
              <w:numPr>
                <w:ilvl w:val="0"/>
                <w:numId w:val="18"/>
              </w:numPr>
              <w:spacing w:after="42" w:line="258" w:lineRule="auto"/>
              <w:ind w:left="439" w:right="30" w:hanging="255"/>
            </w:pPr>
            <w:r>
              <w:t xml:space="preserve">A FASTA file containing the GRCh38 version of the human genome can be downloaded from the UCSC Genome Browser at </w:t>
            </w:r>
            <w:hyperlink r:id="rId9">
              <w:r>
                <w:rPr>
                  <w:rFonts w:ascii="Calibri" w:eastAsia="Calibri" w:hAnsi="Calibri" w:cs="Calibri"/>
                  <w:color w:val="63397F"/>
                </w:rPr>
                <w:t xml:space="preserve">http:// </w:t>
              </w:r>
            </w:hyperlink>
            <w:hyperlink r:id="rId10">
              <w:r>
                <w:rPr>
                  <w:rFonts w:ascii="Calibri" w:eastAsia="Calibri" w:hAnsi="Calibri" w:cs="Calibri"/>
                  <w:color w:val="63397F"/>
                </w:rPr>
                <w:t xml:space="preserve">hgdownload.soe.ucsc.edu/goldenPath/hg38/bigZips/hg38.fa. </w:t>
              </w:r>
            </w:hyperlink>
            <w:hyperlink r:id="rId11">
              <w:r>
                <w:rPr>
                  <w:rFonts w:ascii="Calibri" w:eastAsia="Calibri" w:hAnsi="Calibri" w:cs="Calibri"/>
                  <w:color w:val="63397F"/>
                </w:rPr>
                <w:t>gz</w:t>
              </w:r>
            </w:hyperlink>
            <w:hyperlink r:id="rId12">
              <w:r>
                <w:t>.</w:t>
              </w:r>
            </w:hyperlink>
            <w:r>
              <w:t xml:space="preserve"> Genome files can also be obtained from ENSEMBL (</w:t>
            </w:r>
            <w:hyperlink r:id="rId13">
              <w:r>
                <w:rPr>
                  <w:rFonts w:ascii="Calibri" w:eastAsia="Calibri" w:hAnsi="Calibri" w:cs="Calibri"/>
                  <w:color w:val="63397F"/>
                </w:rPr>
                <w:t xml:space="preserve">http: </w:t>
              </w:r>
            </w:hyperlink>
            <w:hyperlink r:id="rId14">
              <w:r>
                <w:rPr>
                  <w:rFonts w:ascii="Calibri" w:eastAsia="Calibri" w:hAnsi="Calibri" w:cs="Calibri"/>
                  <w:color w:val="63397F"/>
                </w:rPr>
                <w:t>//ensemblgenomes.org/</w:t>
              </w:r>
            </w:hyperlink>
            <w:hyperlink r:id="rId15">
              <w:r>
                <w:t>)</w:t>
              </w:r>
            </w:hyperlink>
            <w:r>
              <w:t xml:space="preserve"> and from the NCBI website (</w:t>
            </w:r>
            <w:hyperlink r:id="rId16">
              <w:r>
                <w:rPr>
                  <w:rFonts w:ascii="Calibri" w:eastAsia="Calibri" w:hAnsi="Calibri" w:cs="Calibri"/>
                  <w:color w:val="63397F"/>
                </w:rPr>
                <w:t xml:space="preserve">http:// </w:t>
              </w:r>
            </w:hyperlink>
            <w:hyperlink r:id="rId17">
              <w:r>
                <w:rPr>
                  <w:rFonts w:ascii="Calibri" w:eastAsia="Calibri" w:hAnsi="Calibri" w:cs="Calibri"/>
                  <w:color w:val="63397F"/>
                </w:rPr>
                <w:t>www.ncbi.nlm.nih.gov/assembly/</w:t>
              </w:r>
            </w:hyperlink>
            <w:hyperlink r:id="rId18">
              <w:r>
                <w:t>)</w:t>
              </w:r>
            </w:hyperlink>
            <w:r>
              <w:t>. However, it has to be noted that in the case of the human genome, reference FASTA files available in public repositories contain alternative haplotype contigs, i.e</w:t>
            </w:r>
            <w:r>
              <w:t>. alternative versions of sequences already present in the assembly. These alternative haplotypes should be removed from reference files before use. The ENCODE Project [</w:t>
            </w:r>
            <w:r>
              <w:rPr>
                <w:color w:val="422874"/>
              </w:rPr>
              <w:t>29</w:t>
            </w:r>
            <w:r>
              <w:t xml:space="preserve">] provides such filtered files from its portal at </w:t>
            </w:r>
            <w:hyperlink r:id="rId19">
              <w:r>
                <w:rPr>
                  <w:rFonts w:ascii="Calibri" w:eastAsia="Calibri" w:hAnsi="Calibri" w:cs="Calibri"/>
                  <w:color w:val="63397F"/>
                </w:rPr>
                <w:t xml:space="preserve">https://www.encodeproject.org/ </w:t>
              </w:r>
            </w:hyperlink>
            <w:hyperlink r:id="rId20">
              <w:r>
                <w:rPr>
                  <w:rFonts w:ascii="Calibri" w:eastAsia="Calibri" w:hAnsi="Calibri" w:cs="Calibri"/>
                  <w:color w:val="63397F"/>
                </w:rPr>
                <w:t>data-standards/reference-sequences/</w:t>
              </w:r>
            </w:hyperlink>
            <w:hyperlink r:id="rId21">
              <w:r>
                <w:t>.</w:t>
              </w:r>
            </w:hyperlink>
          </w:p>
          <w:p w:rsidR="003A0C2F" w:rsidRDefault="00F166FB">
            <w:pPr>
              <w:spacing w:after="74" w:line="261" w:lineRule="auto"/>
              <w:ind w:left="438" w:right="0" w:firstLine="0"/>
            </w:pPr>
            <w:r>
              <w:t xml:space="preserve">The </w:t>
            </w:r>
            <w:r>
              <w:rPr>
                <w:rFonts w:ascii="Calibri" w:eastAsia="Calibri" w:hAnsi="Calibri" w:cs="Calibri"/>
              </w:rPr>
              <w:t xml:space="preserve">sacCer3 </w:t>
            </w:r>
            <w:r>
              <w:t xml:space="preserve">version of the </w:t>
            </w:r>
            <w:r>
              <w:rPr>
                <w:i/>
              </w:rPr>
              <w:t xml:space="preserve">Saccharomyces cerevisiae </w:t>
            </w:r>
            <w:r>
              <w:t xml:space="preserve">genome can be obtained from </w:t>
            </w:r>
            <w:hyperlink r:id="rId22">
              <w:r>
                <w:rPr>
                  <w:rFonts w:ascii="Calibri" w:eastAsia="Calibri" w:hAnsi="Calibri" w:cs="Calibri"/>
                  <w:color w:val="63397F"/>
                </w:rPr>
                <w:t>http://hgdownload.cse.ucsc.edu/goldenPath</w:t>
              </w:r>
            </w:hyperlink>
            <w:r>
              <w:rPr>
                <w:rFonts w:ascii="Calibri" w:eastAsia="Calibri" w:hAnsi="Calibri" w:cs="Calibri"/>
                <w:color w:val="63397F"/>
              </w:rPr>
              <w:t xml:space="preserve">/ </w:t>
            </w:r>
            <w:hyperlink r:id="rId23">
              <w:r>
                <w:rPr>
                  <w:rFonts w:ascii="Calibri" w:eastAsia="Calibri" w:hAnsi="Calibri" w:cs="Calibri"/>
                  <w:color w:val="63397F"/>
                </w:rPr>
                <w:t>sacCer3/bigZips/sacCer3.fa.gz</w:t>
              </w:r>
            </w:hyperlink>
          </w:p>
          <w:p w:rsidR="003A0C2F" w:rsidRDefault="00F166FB">
            <w:pPr>
              <w:numPr>
                <w:ilvl w:val="0"/>
                <w:numId w:val="18"/>
              </w:numPr>
              <w:spacing w:after="0" w:line="259" w:lineRule="auto"/>
              <w:ind w:left="439" w:right="30" w:hanging="255"/>
            </w:pPr>
            <w:r>
              <w:t>Genome annotations in GTF format can be obtained from UCSC, ENSEMBL, NCBI or ENCODE.</w:t>
            </w:r>
          </w:p>
        </w:tc>
      </w:tr>
      <w:tr w:rsidR="003A0C2F">
        <w:trPr>
          <w:trHeight w:val="3233"/>
        </w:trPr>
        <w:tc>
          <w:tcPr>
            <w:tcW w:w="209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t>packages</w:t>
            </w:r>
          </w:p>
        </w:tc>
        <w:tc>
          <w:tcPr>
            <w:tcW w:w="6327" w:type="dxa"/>
            <w:tcBorders>
              <w:top w:val="nil"/>
              <w:left w:val="nil"/>
              <w:bottom w:val="nil"/>
              <w:right w:val="nil"/>
            </w:tcBorders>
          </w:tcPr>
          <w:p w:rsidR="003A0C2F" w:rsidRDefault="00F166FB">
            <w:pPr>
              <w:numPr>
                <w:ilvl w:val="0"/>
                <w:numId w:val="19"/>
              </w:numPr>
              <w:spacing w:after="106" w:line="244" w:lineRule="auto"/>
              <w:ind w:right="0" w:hanging="354"/>
              <w:jc w:val="left"/>
            </w:pPr>
            <w:r>
              <w:t>UCSC Genome Browser [</w:t>
            </w:r>
            <w:r>
              <w:rPr>
                <w:color w:val="422874"/>
              </w:rPr>
              <w:t>30</w:t>
            </w:r>
            <w:r>
              <w:t xml:space="preserve">, </w:t>
            </w:r>
            <w:r>
              <w:rPr>
                <w:color w:val="422874"/>
              </w:rPr>
              <w:t>31</w:t>
            </w:r>
            <w:r>
              <w:t xml:space="preserve">] utilities: </w:t>
            </w:r>
            <w:hyperlink r:id="rId24">
              <w:r>
                <w:rPr>
                  <w:rFonts w:ascii="Calibri" w:eastAsia="Calibri" w:hAnsi="Calibri" w:cs="Calibri"/>
                  <w:color w:val="63397F"/>
                </w:rPr>
                <w:t xml:space="preserve">http://hgdownload. </w:t>
              </w:r>
            </w:hyperlink>
            <w:hyperlink r:id="rId25">
              <w:r>
                <w:rPr>
                  <w:rFonts w:ascii="Calibri" w:eastAsia="Calibri" w:hAnsi="Calibri" w:cs="Calibri"/>
                  <w:color w:val="63397F"/>
                </w:rPr>
                <w:t>cse.ucsc.edu/admin/exe/</w:t>
              </w:r>
            </w:hyperlink>
          </w:p>
          <w:p w:rsidR="003A0C2F" w:rsidRDefault="00F166FB">
            <w:pPr>
              <w:numPr>
                <w:ilvl w:val="0"/>
                <w:numId w:val="19"/>
              </w:numPr>
              <w:spacing w:after="88" w:line="259" w:lineRule="auto"/>
              <w:ind w:right="0" w:hanging="354"/>
              <w:jc w:val="left"/>
            </w:pPr>
            <w:r>
              <w:t xml:space="preserve">R: </w:t>
            </w:r>
            <w:hyperlink r:id="rId26">
              <w:r>
                <w:rPr>
                  <w:rFonts w:ascii="Calibri" w:eastAsia="Calibri" w:hAnsi="Calibri" w:cs="Calibri"/>
                  <w:color w:val="63397F"/>
                </w:rPr>
                <w:t>https://www.r-project.org/</w:t>
              </w:r>
            </w:hyperlink>
          </w:p>
          <w:p w:rsidR="003A0C2F" w:rsidRDefault="00F166FB">
            <w:pPr>
              <w:numPr>
                <w:ilvl w:val="0"/>
                <w:numId w:val="19"/>
              </w:numPr>
              <w:spacing w:after="95" w:line="259" w:lineRule="auto"/>
              <w:ind w:right="0" w:hanging="354"/>
              <w:jc w:val="left"/>
            </w:pPr>
            <w:r>
              <w:t xml:space="preserve">Python (version 2.7 or higher) </w:t>
            </w:r>
            <w:hyperlink r:id="rId27">
              <w:r>
                <w:rPr>
                  <w:rFonts w:ascii="Calibri" w:eastAsia="Calibri" w:hAnsi="Calibri" w:cs="Calibri"/>
                  <w:color w:val="63397F"/>
                </w:rPr>
                <w:t>https://www.python.org/</w:t>
              </w:r>
            </w:hyperlink>
          </w:p>
          <w:p w:rsidR="003A0C2F" w:rsidRDefault="00F166FB">
            <w:pPr>
              <w:numPr>
                <w:ilvl w:val="0"/>
                <w:numId w:val="19"/>
              </w:numPr>
              <w:spacing w:after="94" w:line="259" w:lineRule="auto"/>
              <w:ind w:right="0" w:hanging="354"/>
              <w:jc w:val="left"/>
            </w:pPr>
            <w:r>
              <w:t xml:space="preserve">TGL Kmeans: </w:t>
            </w:r>
            <w:hyperlink r:id="rId28">
              <w:r>
                <w:rPr>
                  <w:rFonts w:ascii="Calibri" w:eastAsia="Calibri" w:hAnsi="Calibri" w:cs="Calibri"/>
                  <w:color w:val="63397F"/>
                </w:rPr>
                <w:t>https://github.com/tanaylab/tglkmeans</w:t>
              </w:r>
            </w:hyperlink>
          </w:p>
          <w:p w:rsidR="003A0C2F" w:rsidRDefault="00F166FB">
            <w:pPr>
              <w:numPr>
                <w:ilvl w:val="0"/>
                <w:numId w:val="19"/>
              </w:numPr>
              <w:spacing w:after="93" w:line="259" w:lineRule="auto"/>
              <w:ind w:right="0" w:hanging="354"/>
              <w:jc w:val="left"/>
            </w:pPr>
            <w:r>
              <w:t xml:space="preserve">SciPy: </w:t>
            </w:r>
            <w:hyperlink r:id="rId29">
              <w:r>
                <w:rPr>
                  <w:rFonts w:ascii="Calibri" w:eastAsia="Calibri" w:hAnsi="Calibri" w:cs="Calibri"/>
                  <w:color w:val="63397F"/>
                </w:rPr>
                <w:t>ht</w:t>
              </w:r>
              <w:r>
                <w:rPr>
                  <w:rFonts w:ascii="Calibri" w:eastAsia="Calibri" w:hAnsi="Calibri" w:cs="Calibri"/>
                  <w:color w:val="63397F"/>
                </w:rPr>
                <w:t>tps://www.scipy.org/</w:t>
              </w:r>
            </w:hyperlink>
          </w:p>
          <w:p w:rsidR="003A0C2F" w:rsidRDefault="00F166FB">
            <w:pPr>
              <w:numPr>
                <w:ilvl w:val="0"/>
                <w:numId w:val="19"/>
              </w:numPr>
              <w:spacing w:after="91" w:line="259" w:lineRule="auto"/>
              <w:ind w:right="0" w:hanging="354"/>
              <w:jc w:val="left"/>
            </w:pPr>
            <w:r>
              <w:t xml:space="preserve">Matplotlib: </w:t>
            </w:r>
            <w:hyperlink r:id="rId30">
              <w:r>
                <w:rPr>
                  <w:rFonts w:ascii="Calibri" w:eastAsia="Calibri" w:hAnsi="Calibri" w:cs="Calibri"/>
                  <w:color w:val="63397F"/>
                </w:rPr>
                <w:t>https://matplotlib.org/</w:t>
              </w:r>
            </w:hyperlink>
          </w:p>
          <w:p w:rsidR="003A0C2F" w:rsidRDefault="00F166FB">
            <w:pPr>
              <w:numPr>
                <w:ilvl w:val="0"/>
                <w:numId w:val="19"/>
              </w:numPr>
              <w:spacing w:after="94" w:line="259" w:lineRule="auto"/>
              <w:ind w:right="0" w:hanging="354"/>
              <w:jc w:val="left"/>
            </w:pPr>
            <w:r>
              <w:t>Minimap2 [</w:t>
            </w:r>
            <w:r>
              <w:rPr>
                <w:color w:val="422874"/>
              </w:rPr>
              <w:t>32</w:t>
            </w:r>
            <w:r>
              <w:t xml:space="preserve">] (version 2.17) </w:t>
            </w:r>
            <w:hyperlink r:id="rId31">
              <w:r>
                <w:rPr>
                  <w:rFonts w:ascii="Calibri" w:eastAsia="Calibri" w:hAnsi="Calibri" w:cs="Calibri"/>
                  <w:color w:val="63397F"/>
                </w:rPr>
                <w:t>https://github.com/lh3/minimap2</w:t>
              </w:r>
            </w:hyperlink>
          </w:p>
          <w:p w:rsidR="003A0C2F" w:rsidRDefault="00F166FB">
            <w:pPr>
              <w:numPr>
                <w:ilvl w:val="0"/>
                <w:numId w:val="19"/>
              </w:numPr>
              <w:spacing w:after="94" w:line="259" w:lineRule="auto"/>
              <w:ind w:right="0" w:hanging="354"/>
              <w:jc w:val="left"/>
            </w:pPr>
            <w:r>
              <w:t xml:space="preserve">Tombo (version 1.5) </w:t>
            </w:r>
            <w:hyperlink r:id="rId32">
              <w:r>
                <w:rPr>
                  <w:rFonts w:ascii="Calibri" w:eastAsia="Calibri" w:hAnsi="Calibri" w:cs="Calibri"/>
                  <w:color w:val="63397F"/>
                </w:rPr>
                <w:t>https://nanoporetech.github.io/tombo/</w:t>
              </w:r>
            </w:hyperlink>
          </w:p>
          <w:p w:rsidR="003A0C2F" w:rsidRDefault="00F166FB">
            <w:pPr>
              <w:numPr>
                <w:ilvl w:val="0"/>
                <w:numId w:val="19"/>
              </w:numPr>
              <w:spacing w:after="94" w:line="259" w:lineRule="auto"/>
              <w:ind w:right="0" w:hanging="354"/>
              <w:jc w:val="left"/>
            </w:pPr>
            <w:r>
              <w:t xml:space="preserve">Albacore </w:t>
            </w:r>
            <w:hyperlink r:id="rId33">
              <w:r>
                <w:rPr>
                  <w:rFonts w:ascii="Calibri" w:eastAsia="Calibri" w:hAnsi="Calibri" w:cs="Calibri"/>
                  <w:color w:val="63397F"/>
                </w:rPr>
                <w:t>https://nanoporetech.com/</w:t>
              </w:r>
            </w:hyperlink>
          </w:p>
          <w:p w:rsidR="003A0C2F" w:rsidRDefault="00F166FB">
            <w:pPr>
              <w:numPr>
                <w:ilvl w:val="0"/>
                <w:numId w:val="19"/>
              </w:numPr>
              <w:spacing w:after="0" w:line="259" w:lineRule="auto"/>
              <w:ind w:right="0" w:hanging="354"/>
              <w:jc w:val="left"/>
            </w:pPr>
            <w:r>
              <w:t xml:space="preserve">Megalodon </w:t>
            </w:r>
            <w:hyperlink r:id="rId34">
              <w:r>
                <w:rPr>
                  <w:rFonts w:ascii="Calibri" w:eastAsia="Calibri" w:hAnsi="Calibri" w:cs="Calibri"/>
                  <w:color w:val="63397F"/>
                </w:rPr>
                <w:t>https://github.com/nanoporetech/me</w:t>
              </w:r>
              <w:r>
                <w:rPr>
                  <w:rFonts w:ascii="Calibri" w:eastAsia="Calibri" w:hAnsi="Calibri" w:cs="Calibri"/>
                  <w:color w:val="63397F"/>
                </w:rPr>
                <w:t>galodon</w:t>
              </w:r>
            </w:hyperlink>
          </w:p>
        </w:tc>
      </w:tr>
    </w:tbl>
    <w:p w:rsidR="003A0C2F" w:rsidRDefault="00F166FB">
      <w:pPr>
        <w:numPr>
          <w:ilvl w:val="0"/>
          <w:numId w:val="2"/>
        </w:numPr>
        <w:spacing w:after="95" w:line="259" w:lineRule="auto"/>
        <w:ind w:right="725" w:hanging="354"/>
        <w:jc w:val="left"/>
      </w:pPr>
      <w:r>
        <w:t xml:space="preserve">Guppy </w:t>
      </w:r>
      <w:hyperlink r:id="rId35">
        <w:r>
          <w:rPr>
            <w:rFonts w:ascii="Calibri" w:eastAsia="Calibri" w:hAnsi="Calibri" w:cs="Calibri"/>
            <w:color w:val="63397F"/>
          </w:rPr>
          <w:t>https://nanoporetech.com/</w:t>
        </w:r>
      </w:hyperlink>
    </w:p>
    <w:p w:rsidR="003A0C2F" w:rsidRDefault="00F166FB">
      <w:pPr>
        <w:numPr>
          <w:ilvl w:val="0"/>
          <w:numId w:val="2"/>
        </w:numPr>
        <w:spacing w:after="93" w:line="259" w:lineRule="auto"/>
        <w:ind w:right="725" w:hanging="354"/>
        <w:jc w:val="left"/>
      </w:pPr>
      <w:r>
        <w:t xml:space="preserve">Rerio </w:t>
      </w:r>
      <w:hyperlink r:id="rId36">
        <w:r>
          <w:rPr>
            <w:rFonts w:ascii="Calibri" w:eastAsia="Calibri" w:hAnsi="Calibri" w:cs="Calibri"/>
            <w:color w:val="63397F"/>
          </w:rPr>
          <w:t>https://github.com/nanoporetech/rerio</w:t>
        </w:r>
      </w:hyperlink>
    </w:p>
    <w:p w:rsidR="003A0C2F" w:rsidRDefault="00F166FB">
      <w:pPr>
        <w:numPr>
          <w:ilvl w:val="0"/>
          <w:numId w:val="2"/>
        </w:numPr>
        <w:spacing w:after="81" w:line="259" w:lineRule="auto"/>
        <w:ind w:right="725" w:hanging="354"/>
        <w:jc w:val="left"/>
      </w:pPr>
      <w:r>
        <w:rPr>
          <w:rFonts w:ascii="Calibri" w:eastAsia="Calibri" w:hAnsi="Calibri" w:cs="Calibri"/>
        </w:rPr>
        <w:t>tabix</w:t>
      </w:r>
      <w:r>
        <w:t xml:space="preserve">: </w:t>
      </w:r>
      <w:hyperlink r:id="rId37">
        <w:r>
          <w:rPr>
            <w:rFonts w:ascii="Calibri" w:eastAsia="Calibri" w:hAnsi="Calibri" w:cs="Calibri"/>
            <w:color w:val="63397F"/>
          </w:rPr>
          <w:t>http://www.htslib.org/doc/tabix.html</w:t>
        </w:r>
      </w:hyperlink>
      <w:r>
        <w:rPr>
          <w:rFonts w:ascii="Calibri" w:eastAsia="Calibri" w:hAnsi="Calibri" w:cs="Calibri"/>
          <w:color w:val="63397F"/>
        </w:rPr>
        <w:t xml:space="preserve"> </w:t>
      </w:r>
      <w:r>
        <w:t>(</w:t>
      </w:r>
      <w:r>
        <w:rPr>
          <w:i/>
        </w:rPr>
        <w:t xml:space="preserve">see </w:t>
      </w:r>
      <w:r>
        <w:rPr>
          <w:b/>
        </w:rPr>
        <w:t xml:space="preserve">Note </w:t>
      </w:r>
      <w:r>
        <w:rPr>
          <w:b/>
          <w:color w:val="E4322B"/>
        </w:rPr>
        <w:t>7</w:t>
      </w:r>
      <w:r>
        <w:t>)</w:t>
      </w:r>
    </w:p>
    <w:p w:rsidR="003A0C2F" w:rsidRDefault="00F166FB">
      <w:pPr>
        <w:numPr>
          <w:ilvl w:val="0"/>
          <w:numId w:val="2"/>
        </w:numPr>
        <w:spacing w:after="52"/>
        <w:ind w:right="725" w:hanging="354"/>
        <w:jc w:val="left"/>
      </w:pPr>
      <w:r>
        <w:t>Additional scripts:</w:t>
      </w:r>
    </w:p>
    <w:p w:rsidR="003A0C2F" w:rsidRDefault="00F166FB">
      <w:pPr>
        <w:spacing w:after="14" w:line="259" w:lineRule="auto"/>
        <w:ind w:left="2546" w:right="0"/>
        <w:jc w:val="left"/>
      </w:pPr>
      <w:hyperlink r:id="rId38">
        <w:r>
          <w:rPr>
            <w:rFonts w:ascii="Calibri" w:eastAsia="Calibri" w:hAnsi="Calibri" w:cs="Calibri"/>
            <w:color w:val="63397F"/>
          </w:rPr>
          <w:t>https://github.com/georgimarinov/SMAC-seq-scripts</w:t>
        </w:r>
      </w:hyperlink>
      <w:hyperlink r:id="rId39">
        <w:r>
          <w:t>.</w:t>
        </w:r>
      </w:hyperlink>
    </w:p>
    <w:p w:rsidR="003A0C2F" w:rsidRDefault="00F166FB">
      <w:pPr>
        <w:ind w:left="2546" w:right="314"/>
      </w:pPr>
      <w:r>
        <w:t>Contains python scripts for processing and post-processing of SMACseq data used in the examples shown below.</w:t>
      </w:r>
    </w:p>
    <w:p w:rsidR="003A0C2F" w:rsidRDefault="00F166FB">
      <w:pPr>
        <w:spacing w:after="133" w:line="259" w:lineRule="auto"/>
        <w:ind w:left="0" w:right="0" w:firstLine="0"/>
        <w:jc w:val="left"/>
      </w:pPr>
      <w:r>
        <w:rPr>
          <w:rFonts w:ascii="Calibri" w:eastAsia="Calibri" w:hAnsi="Calibri" w:cs="Calibri"/>
          <w:noProof/>
          <w:sz w:val="22"/>
        </w:rPr>
        <mc:AlternateContent>
          <mc:Choice Requires="wpg">
            <w:drawing>
              <wp:inline distT="0" distB="0" distL="0" distR="0">
                <wp:extent cx="5255997" cy="18974"/>
                <wp:effectExtent l="0" t="0" r="0" b="0"/>
                <wp:docPr id="21177" name="Group 21177"/>
                <wp:cNvGraphicFramePr/>
                <a:graphic xmlns:a="http://schemas.openxmlformats.org/drawingml/2006/main">
                  <a:graphicData uri="http://schemas.microsoft.com/office/word/2010/wordprocessingGroup">
                    <wpg:wgp>
                      <wpg:cNvGrpSpPr/>
                      <wpg:grpSpPr>
                        <a:xfrm>
                          <a:off x="0" y="0"/>
                          <a:ext cx="5255997" cy="18974"/>
                          <a:chOff x="0" y="0"/>
                          <a:chExt cx="5255997" cy="18974"/>
                        </a:xfrm>
                      </wpg:grpSpPr>
                      <wps:wsp>
                        <wps:cNvPr id="29852" name="Shape 29852"/>
                        <wps:cNvSpPr/>
                        <wps:spPr>
                          <a:xfrm>
                            <a:off x="0" y="0"/>
                            <a:ext cx="5255997" cy="18974"/>
                          </a:xfrm>
                          <a:custGeom>
                            <a:avLst/>
                            <a:gdLst/>
                            <a:ahLst/>
                            <a:cxnLst/>
                            <a:rect l="0" t="0" r="0" b="0"/>
                            <a:pathLst>
                              <a:path w="5255997" h="18974">
                                <a:moveTo>
                                  <a:pt x="0" y="0"/>
                                </a:moveTo>
                                <a:lnTo>
                                  <a:pt x="5255997" y="0"/>
                                </a:lnTo>
                                <a:lnTo>
                                  <a:pt x="5255997"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85CCBD" id="Group 21177" o:spid="_x0000_s1026" style="width:413.85pt;height:1.5pt;mso-position-horizontal-relative:char;mso-position-vertical-relative:line" coordsize="525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4+egIAAF8GAAAOAAAAZHJzL2Uyb0RvYy54bWykVdtu2zAMfR+wfxD8vviCZUmMOH1Yt7wM&#10;W7F2H6DI8gWQJUFS4uTvR9G2YqRdB7R5sGnqkCIPL9nenTtBTtzYVskiShdJRLhkqmxlXUR/nr5/&#10;WkfEOipLKpTkRXThNrrbffyw7XXOM9UoUXJDwIm0ea+LqHFO53FsWcM7ahdKcwmHlTIddfBp6rg0&#10;tAfvnYizJPkS98qU2ijGrQXt/XAY7dB/VXHmflWV5Y6IIoLYHD4NPg/+Ge+2NK8N1U3LxjDoG6Lo&#10;aCvh0uDqnjpKjqZ95qprmVFWVW7BVBerqmoZxxwgmzS5yWZv1FFjLnXe1zrQBNTe8PRmt+zn6cGQ&#10;tiyiLE1Xq4hI2kGZ8GYyqICiXtc5IPdGP+oHMyrq4ctnfa5M59+QDzkjuZdALj87wkC5zJbLzQZu&#10;YHCWrjerzwP5rIEKPbNizbdX7eLp0tjHFkLpNbSRvTJl38fUY0M1xwJYn//E1Ga9zCamEEIyVCEx&#10;iAw02dwCY+/jKORKc3a0bs8Vkk1PP6wb+recJNpMEjvLSTQwBa/2v6bO2/kovUj6WbWaqVj+tFMn&#10;/qQQ525KBkFeT4Wco0Llp6YA7ISY3hr9zZGhRf6Jhnmet9J/cDjrAQOCT3W3HQVMH+Q5wUJ6JuAW&#10;RmEzVYI6HPGudbCyRNsBM9kqSa6OwZtvwKHiKLmL4J4uIX/zCsYMh8MrrKkPX4UhJ+oXE/7QORW6&#10;oaPWzweENEJRRj/evmqFCC5TNH3J5eBhBHs7jjsxWCaDJRujGRYjrBdIelqPEEEwwpuVdMFewlLH&#10;MGfZevGgygsuCiQEJhKpwS2GeYwb16/J+Teirv8Lu78AAAD//wMAUEsDBBQABgAIAAAAIQCKPMS2&#10;2wAAAAMBAAAPAAAAZHJzL2Rvd25yZXYueG1sTI9Pa8JAEMXvhX6HZYTe6iZKVWI2ItL2JAX/QOlt&#10;zI5JMDsbsmsSv323vehl4PEe7/0mXQ2mFh21rrKsIB5HIIhzqysuFBwPH68LEM4ja6wtk4IbOVhl&#10;z08pJtr2vKNu7wsRStglqKD0vkmkdHlJBt3YNsTBO9vWoA+yLaRusQ/lppaTKJpJgxWHhRIb2pSU&#10;X/ZXo+Czx349jd+77eW8uf0c3r6+tzEp9TIa1ksQngZ/D8MffkCHLDCd7JW1E7WC8Ij/v8FbTOZz&#10;ECcF0whklspH9uwXAAD//wMAUEsBAi0AFAAGAAgAAAAhALaDOJL+AAAA4QEAABMAAAAAAAAAAAAA&#10;AAAAAAAAAFtDb250ZW50X1R5cGVzXS54bWxQSwECLQAUAAYACAAAACEAOP0h/9YAAACUAQAACwAA&#10;AAAAAAAAAAAAAAAvAQAAX3JlbHMvLnJlbHNQSwECLQAUAAYACAAAACEA+X4ePnoCAABfBgAADgAA&#10;AAAAAAAAAAAAAAAuAgAAZHJzL2Uyb0RvYy54bWxQSwECLQAUAAYACAAAACEAijzEttsAAAADAQAA&#10;DwAAAAAAAAAAAAAAAADUBAAAZHJzL2Rvd25yZXYueG1sUEsFBgAAAAAEAAQA8wAAANwFAAAAAA==&#10;">
                <v:shape id="Shape 29852" o:spid="_x0000_s1027" style="position:absolute;width:52559;height:189;visibility:visible;mso-wrap-style:square;v-text-anchor:top" coordsize="5255997,1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yjMMA&#10;AADeAAAADwAAAGRycy9kb3ducmV2LnhtbESPQYvCMBSE7wv+h/AEb2tqQdFqFBEE8SJ2RfH2aJ5t&#10;sXkpTdTqrzeCsMdhZr5hZovWVOJOjSstKxj0IxDEmdUl5woOf+vfMQjnkTVWlknBkxws5p2fGSba&#10;PnhP99TnIkDYJaig8L5OpHRZQQZd39bEwbvYxqAPssmlbvAR4KaScRSNpMGSw0KBNa0Kyq7pzShI&#10;Ja+OrzVtdniSjs/ab6+viVK9brucgvDU+v/wt73RCuLJeBjD506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xyjMMAAADeAAAADwAAAAAAAAAAAAAAAACYAgAAZHJzL2Rv&#10;d25yZXYueG1sUEsFBgAAAAAEAAQA9QAAAIgDAAAAAA==&#10;" path="m,l5255997,r,18974l,18974,,e" fillcolor="black" stroked="f" strokeweight="0">
                  <v:stroke miterlimit="83231f" joinstyle="miter"/>
                  <v:path arrowok="t" textboxrect="0,0,5255997,18974"/>
                </v:shape>
                <w10:anchorlock/>
              </v:group>
            </w:pict>
          </mc:Fallback>
        </mc:AlternateContent>
      </w:r>
    </w:p>
    <w:p w:rsidR="003A0C2F" w:rsidRDefault="00F166FB">
      <w:pPr>
        <w:numPr>
          <w:ilvl w:val="0"/>
          <w:numId w:val="3"/>
        </w:numPr>
        <w:spacing w:after="0" w:line="265" w:lineRule="auto"/>
        <w:ind w:right="0" w:hanging="230"/>
        <w:jc w:val="left"/>
      </w:pPr>
      <w:r>
        <w:rPr>
          <w:rFonts w:ascii="Calibri" w:eastAsia="Calibri" w:hAnsi="Calibri" w:cs="Calibri"/>
          <w:b/>
        </w:rPr>
        <w:t>Methods</w:t>
      </w:r>
    </w:p>
    <w:p w:rsidR="003A0C2F" w:rsidRDefault="00F166FB">
      <w:pPr>
        <w:spacing w:after="204"/>
        <w:ind w:left="2108" w:right="725"/>
      </w:pPr>
      <w:r>
        <w:lastRenderedPageBreak/>
        <w:t xml:space="preserve">The principle behind the assay and the typical SMAC-seq experimental procedure are outlined in Figure </w:t>
      </w:r>
      <w:r>
        <w:rPr>
          <w:color w:val="E4322B"/>
        </w:rPr>
        <w:t>1</w:t>
      </w:r>
      <w:r>
        <w:t>. SMAC-seq consists of the following basic steps:</w:t>
      </w:r>
    </w:p>
    <w:p w:rsidR="003A0C2F" w:rsidRDefault="00F166FB">
      <w:pPr>
        <w:numPr>
          <w:ilvl w:val="1"/>
          <w:numId w:val="4"/>
        </w:numPr>
        <w:ind w:right="725" w:hanging="255"/>
      </w:pPr>
      <w:r>
        <w:t>Nuclei isolation.</w:t>
      </w:r>
    </w:p>
    <w:p w:rsidR="003A0C2F" w:rsidRDefault="00F166FB">
      <w:pPr>
        <w:numPr>
          <w:ilvl w:val="1"/>
          <w:numId w:val="4"/>
        </w:numPr>
        <w:spacing w:after="94" w:line="260" w:lineRule="auto"/>
        <w:ind w:right="725" w:hanging="255"/>
      </w:pPr>
      <w:r>
        <w:t>Enzymatic treatment of chromatin.</w:t>
      </w:r>
    </w:p>
    <w:p w:rsidR="003A0C2F" w:rsidRDefault="00F166FB">
      <w:pPr>
        <w:numPr>
          <w:ilvl w:val="1"/>
          <w:numId w:val="4"/>
        </w:numPr>
        <w:ind w:right="725" w:hanging="255"/>
      </w:pPr>
      <w:r>
        <w:t>HMW DNA extraction.</w:t>
      </w:r>
    </w:p>
    <w:p w:rsidR="003A0C2F" w:rsidRDefault="00F166FB">
      <w:pPr>
        <w:numPr>
          <w:ilvl w:val="1"/>
          <w:numId w:val="4"/>
        </w:numPr>
        <w:ind w:right="725" w:hanging="255"/>
      </w:pPr>
      <w:r>
        <w:t>Nanopore sequencing.</w:t>
      </w:r>
    </w:p>
    <w:p w:rsidR="003A0C2F" w:rsidRDefault="00F166FB">
      <w:pPr>
        <w:numPr>
          <w:ilvl w:val="1"/>
          <w:numId w:val="4"/>
        </w:numPr>
        <w:spacing w:after="94" w:line="260" w:lineRule="auto"/>
        <w:ind w:right="725" w:hanging="255"/>
      </w:pPr>
      <w:r>
        <w:t>Read mapping and calling modified basis.</w:t>
      </w:r>
    </w:p>
    <w:p w:rsidR="003A0C2F" w:rsidRDefault="00F166FB">
      <w:pPr>
        <w:numPr>
          <w:ilvl w:val="1"/>
          <w:numId w:val="4"/>
        </w:numPr>
        <w:spacing w:after="190"/>
        <w:ind w:right="725" w:hanging="255"/>
      </w:pPr>
      <w:r>
        <w:t>Aggregate and single-molecule accessibility analysis.</w:t>
      </w:r>
    </w:p>
    <w:p w:rsidR="003A0C2F" w:rsidRDefault="00F166FB">
      <w:pPr>
        <w:spacing w:after="408"/>
        <w:ind w:left="2108" w:right="725"/>
      </w:pPr>
      <w:r>
        <w:t>We provide several</w:t>
      </w:r>
      <w:r>
        <w:t xml:space="preserve"> slightly different protocols for working with yeast (</w:t>
      </w:r>
      <w:r>
        <w:rPr>
          <w:i/>
        </w:rPr>
        <w:t xml:space="preserve">see </w:t>
      </w:r>
      <w:r>
        <w:rPr>
          <w:b/>
        </w:rPr>
        <w:t xml:space="preserve">Note </w:t>
      </w:r>
      <w:r>
        <w:rPr>
          <w:b/>
          <w:color w:val="E4322B"/>
        </w:rPr>
        <w:t>12</w:t>
      </w:r>
      <w:r>
        <w:t>) as well as with mammalian and fly cells.</w:t>
      </w:r>
    </w:p>
    <w:p w:rsidR="003A0C2F" w:rsidRDefault="00F166FB">
      <w:pPr>
        <w:tabs>
          <w:tab w:val="center" w:pos="5187"/>
        </w:tabs>
        <w:spacing w:after="3"/>
        <w:ind w:left="0" w:right="0" w:firstLine="0"/>
        <w:jc w:val="left"/>
      </w:pPr>
      <w:r>
        <w:rPr>
          <w:rFonts w:ascii="Calibri" w:eastAsia="Calibri" w:hAnsi="Calibri" w:cs="Calibri"/>
          <w:b/>
        </w:rPr>
        <w:t xml:space="preserve">3.1 </w:t>
      </w:r>
      <w:r>
        <w:rPr>
          <w:rFonts w:ascii="Calibri" w:eastAsia="Calibri" w:hAnsi="Calibri" w:cs="Calibri"/>
          <w:b/>
          <w:i/>
        </w:rPr>
        <w:t>Nuclei isolation</w:t>
      </w:r>
      <w:r>
        <w:rPr>
          <w:rFonts w:ascii="Calibri" w:eastAsia="Calibri" w:hAnsi="Calibri" w:cs="Calibri"/>
          <w:b/>
          <w:i/>
        </w:rPr>
        <w:tab/>
      </w:r>
      <w:r>
        <w:t>Start with 2</w:t>
      </w:r>
      <w:r>
        <w:rPr>
          <w:i/>
        </w:rPr>
        <w:t>.</w:t>
      </w:r>
      <w:r>
        <w:t xml:space="preserve">5 </w:t>
      </w:r>
      <w:r>
        <w:t xml:space="preserve">× </w:t>
      </w:r>
      <w:r>
        <w:t>10</w:t>
      </w:r>
      <w:r>
        <w:rPr>
          <w:vertAlign w:val="superscript"/>
        </w:rPr>
        <w:t xml:space="preserve">8 </w:t>
      </w:r>
      <w:r>
        <w:t xml:space="preserve">yeast cells (the equivalent to 1 </w:t>
      </w:r>
      <w:r>
        <w:t xml:space="preserve">× </w:t>
      </w:r>
      <w:r>
        <w:rPr>
          <w:sz w:val="31"/>
          <w:vertAlign w:val="subscript"/>
        </w:rPr>
        <w:t>10</w:t>
      </w:r>
      <w:r>
        <w:rPr>
          <w:vertAlign w:val="superscript"/>
        </w:rPr>
        <w:t xml:space="preserve">6 </w:t>
      </w:r>
      <w:r>
        <w:t>human cells).</w:t>
      </w:r>
    </w:p>
    <w:p w:rsidR="003A0C2F" w:rsidRDefault="00F166FB">
      <w:pPr>
        <w:pStyle w:val="Heading2"/>
        <w:ind w:left="-5" w:right="2579"/>
      </w:pPr>
      <w:r>
        <w:t>(budding yeast)</w:t>
      </w:r>
    </w:p>
    <w:p w:rsidR="003A0C2F" w:rsidRDefault="00F166FB">
      <w:pPr>
        <w:numPr>
          <w:ilvl w:val="0"/>
          <w:numId w:val="5"/>
        </w:numPr>
        <w:ind w:left="2620" w:right="725" w:hanging="354"/>
      </w:pPr>
      <w:r>
        <w:t>Spin cells for 1 min at 13000 rpm. Remove supernatant</w:t>
      </w:r>
    </w:p>
    <w:p w:rsidR="003A0C2F" w:rsidRDefault="00F166FB">
      <w:pPr>
        <w:numPr>
          <w:ilvl w:val="0"/>
          <w:numId w:val="5"/>
        </w:numPr>
        <w:spacing w:after="94" w:line="260" w:lineRule="auto"/>
        <w:ind w:left="2620" w:right="725" w:hanging="354"/>
      </w:pPr>
      <w:r>
        <w:t xml:space="preserve">Wash cells with 100 </w:t>
      </w:r>
      <w:r>
        <w:rPr>
          <w:i/>
        </w:rPr>
        <w:t>µ</w:t>
      </w:r>
      <w:r>
        <w:t>L Sorbitol Buffer</w:t>
      </w:r>
    </w:p>
    <w:p w:rsidR="003A0C2F" w:rsidRDefault="00F166FB">
      <w:pPr>
        <w:numPr>
          <w:ilvl w:val="0"/>
          <w:numId w:val="5"/>
        </w:numPr>
        <w:ind w:left="2620" w:right="725" w:hanging="354"/>
      </w:pPr>
      <w:r>
        <w:t>Spin cells 1 min at 13000 rpm. Remove supernatant</w:t>
      </w:r>
    </w:p>
    <w:p w:rsidR="003A0C2F" w:rsidRDefault="00F166FB">
      <w:pPr>
        <w:numPr>
          <w:ilvl w:val="0"/>
          <w:numId w:val="5"/>
        </w:numPr>
        <w:ind w:left="2620" w:right="725" w:hanging="354"/>
      </w:pPr>
      <w:r>
        <w:t xml:space="preserve">Resuspend pellet in 200 </w:t>
      </w:r>
      <w:r>
        <w:rPr>
          <w:i/>
        </w:rPr>
        <w:t>µ</w:t>
      </w:r>
      <w:r>
        <w:t>L Sorbitol Buffer + 10 mM DTT + 0.5 mg/mL 100T Zymolase</w:t>
      </w:r>
    </w:p>
    <w:p w:rsidR="003A0C2F" w:rsidRDefault="00F166FB">
      <w:pPr>
        <w:numPr>
          <w:ilvl w:val="0"/>
          <w:numId w:val="5"/>
        </w:numPr>
        <w:ind w:left="2620" w:right="725" w:hanging="354"/>
      </w:pPr>
      <w:r>
        <w:t>Incubate for 5 min at 30 degrees, shaking 300 rpm</w:t>
      </w:r>
    </w:p>
    <w:p w:rsidR="003A0C2F" w:rsidRDefault="00F166FB">
      <w:pPr>
        <w:numPr>
          <w:ilvl w:val="0"/>
          <w:numId w:val="5"/>
        </w:numPr>
        <w:ind w:left="2620" w:right="725" w:hanging="354"/>
      </w:pPr>
      <w:r>
        <w:t>Centrifuge for 2 min at 5000 rpm. Remove supernatant</w:t>
      </w:r>
    </w:p>
    <w:p w:rsidR="003A0C2F" w:rsidRDefault="00F166FB">
      <w:pPr>
        <w:numPr>
          <w:ilvl w:val="0"/>
          <w:numId w:val="5"/>
        </w:numPr>
        <w:ind w:left="2620" w:right="725" w:hanging="354"/>
      </w:pPr>
      <w:r>
        <w:t xml:space="preserve">Add 100 </w:t>
      </w:r>
      <w:r>
        <w:rPr>
          <w:i/>
        </w:rPr>
        <w:t>µ</w:t>
      </w:r>
      <w:r>
        <w:t>L SB buffer (no DTT) and resuspend gently</w:t>
      </w:r>
    </w:p>
    <w:p w:rsidR="003A0C2F" w:rsidRDefault="00F166FB">
      <w:pPr>
        <w:numPr>
          <w:ilvl w:val="0"/>
          <w:numId w:val="5"/>
        </w:numPr>
        <w:ind w:left="2620" w:right="725" w:hanging="354"/>
      </w:pPr>
      <w:r>
        <w:t>Centrifuge for 2 min at 5000 rpm. Remove supernatant</w:t>
      </w:r>
    </w:p>
    <w:p w:rsidR="003A0C2F" w:rsidRDefault="00F166FB">
      <w:pPr>
        <w:numPr>
          <w:ilvl w:val="0"/>
          <w:numId w:val="5"/>
        </w:numPr>
        <w:ind w:left="2620" w:right="725" w:hanging="354"/>
      </w:pPr>
      <w:r>
        <w:t xml:space="preserve">Add 100 </w:t>
      </w:r>
      <w:r>
        <w:rPr>
          <w:i/>
        </w:rPr>
        <w:t>µ</w:t>
      </w:r>
      <w:r>
        <w:t>L ice-cold lysis buffer</w:t>
      </w:r>
    </w:p>
    <w:p w:rsidR="003A0C2F" w:rsidRDefault="00F166FB">
      <w:pPr>
        <w:numPr>
          <w:ilvl w:val="0"/>
          <w:numId w:val="5"/>
        </w:numPr>
        <w:ind w:left="2620" w:right="725" w:hanging="354"/>
      </w:pPr>
      <w:r>
        <w:t xml:space="preserve">Incubate on ice </w:t>
      </w:r>
      <w:r>
        <w:t>for 10 minutes</w:t>
      </w:r>
    </w:p>
    <w:p w:rsidR="003A0C2F" w:rsidRDefault="00F166FB">
      <w:pPr>
        <w:numPr>
          <w:ilvl w:val="0"/>
          <w:numId w:val="5"/>
        </w:numPr>
        <w:spacing w:after="94" w:line="260" w:lineRule="auto"/>
        <w:ind w:left="2620" w:right="725" w:hanging="354"/>
      </w:pPr>
      <w:r>
        <w:t>Spin down at 5000 rpm for 5 min at 4</w:t>
      </w:r>
      <w:r>
        <w:rPr>
          <w:vertAlign w:val="superscript"/>
        </w:rPr>
        <w:t>◦</w:t>
      </w:r>
      <w:r>
        <w:t>C</w:t>
      </w:r>
    </w:p>
    <w:p w:rsidR="003A0C2F" w:rsidRDefault="00F166FB">
      <w:pPr>
        <w:numPr>
          <w:ilvl w:val="0"/>
          <w:numId w:val="5"/>
        </w:numPr>
        <w:spacing w:after="94" w:line="260" w:lineRule="auto"/>
        <w:ind w:left="2620" w:right="725" w:hanging="354"/>
      </w:pPr>
      <w:r>
        <w:t xml:space="preserve">Wash with 100 </w:t>
      </w:r>
      <w:r>
        <w:rPr>
          <w:i/>
        </w:rPr>
        <w:t>µ</w:t>
      </w:r>
      <w:r>
        <w:t>L cold wash buffer</w:t>
      </w:r>
    </w:p>
    <w:p w:rsidR="003A0C2F" w:rsidRDefault="00F166FB">
      <w:pPr>
        <w:numPr>
          <w:ilvl w:val="0"/>
          <w:numId w:val="5"/>
        </w:numPr>
        <w:spacing w:after="94" w:line="260" w:lineRule="auto"/>
        <w:ind w:left="2620" w:right="725" w:hanging="354"/>
      </w:pPr>
      <w:r>
        <w:t>Spin at 5000 rpm for 5 min at 4</w:t>
      </w:r>
      <w:r>
        <w:rPr>
          <w:vertAlign w:val="superscript"/>
        </w:rPr>
        <w:t>◦</w:t>
      </w:r>
      <w:r>
        <w:t>C</w:t>
      </w:r>
    </w:p>
    <w:p w:rsidR="003A0C2F" w:rsidRDefault="00F166FB">
      <w:pPr>
        <w:numPr>
          <w:ilvl w:val="0"/>
          <w:numId w:val="5"/>
        </w:numPr>
        <w:spacing w:after="299"/>
        <w:ind w:left="2620" w:right="725" w:hanging="354"/>
      </w:pPr>
      <w:r>
        <w:t xml:space="preserve">Resuspend in M.CviPI Reaction Buffer (100 </w:t>
      </w:r>
      <w:r>
        <w:rPr>
          <w:i/>
        </w:rPr>
        <w:t>µ</w:t>
      </w:r>
      <w:r>
        <w:t>L for now?)</w:t>
      </w:r>
    </w:p>
    <w:p w:rsidR="003A0C2F" w:rsidRDefault="00F166FB">
      <w:pPr>
        <w:spacing w:after="3" w:line="259" w:lineRule="auto"/>
        <w:ind w:left="-5" w:right="2579"/>
      </w:pPr>
      <w:r>
        <w:rPr>
          <w:rFonts w:ascii="Calibri" w:eastAsia="Calibri" w:hAnsi="Calibri" w:cs="Calibri"/>
          <w:b/>
        </w:rPr>
        <w:t xml:space="preserve">3.2 </w:t>
      </w:r>
      <w:r>
        <w:rPr>
          <w:rFonts w:ascii="Calibri" w:eastAsia="Calibri" w:hAnsi="Calibri" w:cs="Calibri"/>
          <w:b/>
          <w:i/>
        </w:rPr>
        <w:t>Enzymatic</w:t>
      </w:r>
    </w:p>
    <w:p w:rsidR="003A0C2F" w:rsidRDefault="00F166FB">
      <w:pPr>
        <w:pStyle w:val="Heading2"/>
        <w:ind w:left="-5" w:right="2579"/>
      </w:pPr>
      <w:r>
        <w:t xml:space="preserve">treatment of </w:t>
      </w:r>
      <w:r>
        <w:rPr>
          <w:rFonts w:ascii="Cambria" w:eastAsia="Cambria" w:hAnsi="Cambria" w:cs="Cambria"/>
          <w:b w:val="0"/>
          <w:i w:val="0"/>
        </w:rPr>
        <w:t xml:space="preserve">1. Add 200 U of M.CviPI and 200 U of EcoGII </w:t>
      </w:r>
      <w:r>
        <w:t>chromati</w:t>
      </w:r>
      <w:r>
        <w:t>n for m</w:t>
      </w:r>
      <w:r>
        <w:rPr>
          <w:rFonts w:ascii="Cambria" w:eastAsia="Cambria" w:hAnsi="Cambria" w:cs="Cambria"/>
          <w:b w:val="0"/>
          <w:i w:val="0"/>
          <w:vertAlign w:val="superscript"/>
        </w:rPr>
        <w:t>6</w:t>
      </w:r>
      <w:r>
        <w:t>A-GpC-CpGSMAC-seq (budding yeast)</w:t>
      </w:r>
    </w:p>
    <w:p w:rsidR="003A0C2F" w:rsidRDefault="00F166FB">
      <w:pPr>
        <w:numPr>
          <w:ilvl w:val="0"/>
          <w:numId w:val="6"/>
        </w:numPr>
        <w:ind w:right="725" w:hanging="255"/>
      </w:pPr>
      <w:r>
        <w:t>Add SAM at a final concentration of 0.6 mM and sucrose at a final concentration of 300 mM</w:t>
      </w:r>
    </w:p>
    <w:p w:rsidR="003A0C2F" w:rsidRDefault="00F166FB">
      <w:pPr>
        <w:numPr>
          <w:ilvl w:val="0"/>
          <w:numId w:val="6"/>
        </w:numPr>
        <w:ind w:right="725" w:hanging="255"/>
      </w:pPr>
      <w:r>
        <w:t>Incubate at 30</w:t>
      </w:r>
      <w:r>
        <w:rPr>
          <w:vertAlign w:val="superscript"/>
        </w:rPr>
        <w:t>◦</w:t>
      </w:r>
      <w:r>
        <w:t>C for 7.5 min.</w:t>
      </w:r>
    </w:p>
    <w:p w:rsidR="003A0C2F" w:rsidRDefault="00F166FB">
      <w:pPr>
        <w:numPr>
          <w:ilvl w:val="0"/>
          <w:numId w:val="6"/>
        </w:numPr>
        <w:ind w:right="725" w:hanging="255"/>
      </w:pPr>
      <w:r>
        <w:lastRenderedPageBreak/>
        <w:t xml:space="preserve">Add 128 pmol SAM (= 4 </w:t>
      </w:r>
      <w:r>
        <w:rPr>
          <w:i/>
        </w:rPr>
        <w:t>µ</w:t>
      </w:r>
      <w:r>
        <w:t>L 32 mM solution) and another 100 U of both enzymes</w:t>
      </w:r>
    </w:p>
    <w:p w:rsidR="003A0C2F" w:rsidRDefault="00F166FB">
      <w:pPr>
        <w:numPr>
          <w:ilvl w:val="0"/>
          <w:numId w:val="6"/>
        </w:numPr>
        <w:ind w:right="725" w:hanging="255"/>
      </w:pPr>
      <w:r>
        <w:t>Incubate at 30</w:t>
      </w:r>
      <w:r>
        <w:rPr>
          <w:vertAlign w:val="superscript"/>
        </w:rPr>
        <w:t>◦</w:t>
      </w:r>
      <w:r>
        <w:t>C for 7.5 min.</w:t>
      </w:r>
    </w:p>
    <w:p w:rsidR="003A0C2F" w:rsidRDefault="00F166FB">
      <w:pPr>
        <w:numPr>
          <w:ilvl w:val="0"/>
          <w:numId w:val="6"/>
        </w:numPr>
        <w:ind w:right="725" w:hanging="255"/>
      </w:pPr>
      <w:r>
        <w:t>Add 60 U of M.SssI</w:t>
      </w:r>
    </w:p>
    <w:p w:rsidR="003A0C2F" w:rsidRDefault="00F166FB">
      <w:pPr>
        <w:numPr>
          <w:ilvl w:val="0"/>
          <w:numId w:val="6"/>
        </w:numPr>
        <w:ind w:right="725" w:hanging="255"/>
      </w:pPr>
      <w:r>
        <w:t xml:space="preserve">Add 128 pmol SAM (= 4 </w:t>
      </w:r>
      <w:r>
        <w:rPr>
          <w:i/>
        </w:rPr>
        <w:t>µ</w:t>
      </w:r>
      <w:r>
        <w:t>L 32 mM solution) (</w:t>
      </w:r>
      <w:r>
        <w:rPr>
          <w:i/>
        </w:rPr>
        <w:t xml:space="preserve">see </w:t>
      </w:r>
      <w:r>
        <w:rPr>
          <w:b/>
        </w:rPr>
        <w:t xml:space="preserve">Note </w:t>
      </w:r>
      <w:r>
        <w:rPr>
          <w:b/>
          <w:color w:val="E4322B"/>
        </w:rPr>
        <w:t>3</w:t>
      </w:r>
      <w:r>
        <w:t>)</w:t>
      </w:r>
    </w:p>
    <w:p w:rsidR="003A0C2F" w:rsidRDefault="00F166FB">
      <w:pPr>
        <w:numPr>
          <w:ilvl w:val="0"/>
          <w:numId w:val="6"/>
        </w:numPr>
        <w:spacing w:after="94" w:line="260" w:lineRule="auto"/>
        <w:ind w:right="725" w:hanging="255"/>
      </w:pPr>
      <w:r>
        <w:t>Add MgCl</w:t>
      </w:r>
      <w:r>
        <w:rPr>
          <w:vertAlign w:val="subscript"/>
        </w:rPr>
        <w:t xml:space="preserve">2 </w:t>
      </w:r>
      <w:r>
        <w:t>at a final concentration of 10 mM</w:t>
      </w:r>
    </w:p>
    <w:p w:rsidR="003A0C2F" w:rsidRDefault="00F166FB">
      <w:pPr>
        <w:numPr>
          <w:ilvl w:val="0"/>
          <w:numId w:val="6"/>
        </w:numPr>
        <w:spacing w:after="206"/>
        <w:ind w:right="725" w:hanging="255"/>
      </w:pPr>
      <w:r>
        <w:t>Incubate at 30</w:t>
      </w:r>
      <w:r>
        <w:rPr>
          <w:vertAlign w:val="superscript"/>
        </w:rPr>
        <w:t>◦</w:t>
      </w:r>
      <w:r>
        <w:t>C for 7.5 min.</w:t>
      </w:r>
    </w:p>
    <w:p w:rsidR="003A0C2F" w:rsidRDefault="00F166FB">
      <w:pPr>
        <w:spacing w:after="3"/>
        <w:ind w:left="2108" w:right="725"/>
      </w:pPr>
      <w:r>
        <w:t>Stop reaction by adding an equal volume of Stop Buffer</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2098"/>
        <w:gridCol w:w="6179"/>
      </w:tblGrid>
      <w:tr w:rsidR="003A0C2F">
        <w:trPr>
          <w:trHeight w:val="3826"/>
        </w:trPr>
        <w:tc>
          <w:tcPr>
            <w:tcW w:w="2098" w:type="dxa"/>
            <w:tcBorders>
              <w:top w:val="nil"/>
              <w:left w:val="nil"/>
              <w:bottom w:val="nil"/>
              <w:right w:val="nil"/>
            </w:tcBorders>
          </w:tcPr>
          <w:p w:rsidR="003A0C2F" w:rsidRDefault="00F166FB">
            <w:pPr>
              <w:spacing w:after="0" w:line="238" w:lineRule="auto"/>
              <w:ind w:left="0" w:right="961" w:firstLine="0"/>
            </w:pPr>
            <w:r>
              <w:rPr>
                <w:rFonts w:ascii="Calibri" w:eastAsia="Calibri" w:hAnsi="Calibri" w:cs="Calibri"/>
                <w:b/>
              </w:rPr>
              <w:t xml:space="preserve">3.3 </w:t>
            </w:r>
            <w:r>
              <w:rPr>
                <w:rFonts w:ascii="Calibri" w:eastAsia="Calibri" w:hAnsi="Calibri" w:cs="Calibri"/>
                <w:b/>
                <w:i/>
              </w:rPr>
              <w:t>Nuclei isolation for human,</w:t>
            </w:r>
          </w:p>
          <w:p w:rsidR="003A0C2F" w:rsidRDefault="00F166FB">
            <w:pPr>
              <w:spacing w:after="0" w:line="259" w:lineRule="auto"/>
              <w:ind w:left="0" w:right="459" w:firstLine="0"/>
            </w:pPr>
            <w:r>
              <w:rPr>
                <w:rFonts w:ascii="Calibri" w:eastAsia="Calibri" w:hAnsi="Calibri" w:cs="Calibri"/>
                <w:b/>
                <w:i/>
              </w:rPr>
              <w:t>Drosoph</w:t>
            </w:r>
            <w:r>
              <w:rPr>
                <w:rFonts w:ascii="Calibri" w:eastAsia="Calibri" w:hAnsi="Calibri" w:cs="Calibri"/>
                <w:b/>
                <w:i/>
              </w:rPr>
              <w:t xml:space="preserve">ila, and other cells without cell walls </w:t>
            </w:r>
            <w:r>
              <w:rPr>
                <w:rFonts w:ascii="Calibri" w:eastAsia="Calibri" w:hAnsi="Calibri" w:cs="Calibri"/>
                <w:b/>
              </w:rPr>
              <w:t xml:space="preserve">3.4 </w:t>
            </w:r>
            <w:r>
              <w:rPr>
                <w:rFonts w:ascii="Calibri" w:eastAsia="Calibri" w:hAnsi="Calibri" w:cs="Calibri"/>
                <w:b/>
                <w:i/>
              </w:rPr>
              <w:t>Enzymatic</w:t>
            </w:r>
          </w:p>
        </w:tc>
        <w:tc>
          <w:tcPr>
            <w:tcW w:w="6180" w:type="dxa"/>
            <w:tcBorders>
              <w:top w:val="nil"/>
              <w:left w:val="nil"/>
              <w:bottom w:val="nil"/>
              <w:right w:val="nil"/>
            </w:tcBorders>
          </w:tcPr>
          <w:p w:rsidR="003A0C2F" w:rsidRDefault="00F166FB">
            <w:pPr>
              <w:spacing w:after="84" w:line="271" w:lineRule="auto"/>
              <w:ind w:left="0" w:right="0" w:firstLine="0"/>
            </w:pPr>
            <w:r>
              <w:t xml:space="preserve">Start with 1 </w:t>
            </w:r>
            <w:r>
              <w:t xml:space="preserve">× </w:t>
            </w:r>
            <w:r>
              <w:t>10</w:t>
            </w:r>
            <w:r>
              <w:rPr>
                <w:vertAlign w:val="superscript"/>
              </w:rPr>
              <w:t xml:space="preserve">6 </w:t>
            </w:r>
            <w:r>
              <w:t>diploid human cells. Scale accordingly according to genome size, variations in cell ploidy, the aimed for amount of sequencing (</w:t>
            </w:r>
            <w:r>
              <w:rPr>
                <w:i/>
              </w:rPr>
              <w:t xml:space="preserve">see </w:t>
            </w:r>
            <w:r>
              <w:rPr>
                <w:b/>
              </w:rPr>
              <w:t xml:space="preserve">Note </w:t>
            </w:r>
            <w:r>
              <w:rPr>
                <w:b/>
                <w:color w:val="E4322B"/>
              </w:rPr>
              <w:t>9</w:t>
            </w:r>
            <w:r>
              <w:t>), etc.</w:t>
            </w:r>
          </w:p>
          <w:p w:rsidR="003A0C2F" w:rsidRDefault="00F166FB">
            <w:pPr>
              <w:numPr>
                <w:ilvl w:val="0"/>
                <w:numId w:val="20"/>
              </w:numPr>
              <w:spacing w:after="99" w:line="259" w:lineRule="auto"/>
              <w:ind w:left="439" w:right="0" w:hanging="255"/>
              <w:jc w:val="left"/>
            </w:pPr>
            <w:r>
              <w:t>Wash cells with 1</w:t>
            </w:r>
            <w:r>
              <w:t xml:space="preserve">× </w:t>
            </w:r>
            <w:r>
              <w:t>PBS</w:t>
            </w:r>
          </w:p>
          <w:p w:rsidR="003A0C2F" w:rsidRDefault="00F166FB">
            <w:pPr>
              <w:numPr>
                <w:ilvl w:val="0"/>
                <w:numId w:val="20"/>
              </w:numPr>
              <w:spacing w:after="103" w:line="259" w:lineRule="auto"/>
              <w:ind w:left="439" w:right="0" w:hanging="255"/>
              <w:jc w:val="left"/>
            </w:pPr>
            <w:r>
              <w:t xml:space="preserve">Centrifuge for 5 min at 500 </w:t>
            </w:r>
            <w:r>
              <w:rPr>
                <w:i/>
              </w:rPr>
              <w:t xml:space="preserve">g </w:t>
            </w:r>
            <w:r>
              <w:t>at 4</w:t>
            </w:r>
            <w:r>
              <w:rPr>
                <w:vertAlign w:val="superscript"/>
              </w:rPr>
              <w:t>◦</w:t>
            </w:r>
            <w:r>
              <w:t>C. Remove supernatant</w:t>
            </w:r>
          </w:p>
          <w:p w:rsidR="003A0C2F" w:rsidRDefault="00F166FB">
            <w:pPr>
              <w:numPr>
                <w:ilvl w:val="0"/>
                <w:numId w:val="20"/>
              </w:numPr>
              <w:spacing w:after="93" w:line="259" w:lineRule="auto"/>
              <w:ind w:left="439" w:right="0" w:hanging="255"/>
              <w:jc w:val="left"/>
            </w:pPr>
            <w:r>
              <w:t xml:space="preserve">Resuspend cells in 200 </w:t>
            </w:r>
            <w:r>
              <w:rPr>
                <w:i/>
              </w:rPr>
              <w:t>µ</w:t>
            </w:r>
            <w:r>
              <w:t>L ice-cold Nuclei Lysis Buffer</w:t>
            </w:r>
          </w:p>
          <w:p w:rsidR="003A0C2F" w:rsidRDefault="00F166FB">
            <w:pPr>
              <w:numPr>
                <w:ilvl w:val="0"/>
                <w:numId w:val="20"/>
              </w:numPr>
              <w:spacing w:after="99" w:line="259" w:lineRule="auto"/>
              <w:ind w:left="439" w:right="0" w:hanging="255"/>
              <w:jc w:val="left"/>
            </w:pPr>
            <w:r>
              <w:t>Incubate on ice for 10 minutes</w:t>
            </w:r>
          </w:p>
          <w:p w:rsidR="003A0C2F" w:rsidRDefault="00F166FB">
            <w:pPr>
              <w:numPr>
                <w:ilvl w:val="0"/>
                <w:numId w:val="20"/>
              </w:numPr>
              <w:spacing w:after="103" w:line="259" w:lineRule="auto"/>
              <w:ind w:left="439" w:right="0" w:hanging="255"/>
              <w:jc w:val="left"/>
            </w:pPr>
            <w:r>
              <w:t xml:space="preserve">Centrifuge for 5 min at 500 </w:t>
            </w:r>
            <w:r>
              <w:rPr>
                <w:i/>
              </w:rPr>
              <w:t xml:space="preserve">g </w:t>
            </w:r>
            <w:r>
              <w:t>at 4</w:t>
            </w:r>
            <w:r>
              <w:rPr>
                <w:vertAlign w:val="superscript"/>
              </w:rPr>
              <w:t>◦</w:t>
            </w:r>
            <w:r>
              <w:t>C. Remove supernatant</w:t>
            </w:r>
          </w:p>
          <w:p w:rsidR="003A0C2F" w:rsidRDefault="00F166FB">
            <w:pPr>
              <w:numPr>
                <w:ilvl w:val="0"/>
                <w:numId w:val="20"/>
              </w:numPr>
              <w:spacing w:after="99" w:line="259" w:lineRule="auto"/>
              <w:ind w:left="439" w:right="0" w:hanging="255"/>
              <w:jc w:val="left"/>
            </w:pPr>
            <w:r>
              <w:t xml:space="preserve">Resuspend nuclei in 200 </w:t>
            </w:r>
            <w:r>
              <w:rPr>
                <w:i/>
              </w:rPr>
              <w:t>µ</w:t>
            </w:r>
            <w:r>
              <w:t>L cold Nuclei Wash Buffer</w:t>
            </w:r>
          </w:p>
          <w:p w:rsidR="003A0C2F" w:rsidRDefault="00F166FB">
            <w:pPr>
              <w:numPr>
                <w:ilvl w:val="0"/>
                <w:numId w:val="20"/>
              </w:numPr>
              <w:spacing w:after="103" w:line="259" w:lineRule="auto"/>
              <w:ind w:left="439" w:right="0" w:hanging="255"/>
              <w:jc w:val="left"/>
            </w:pPr>
            <w:r>
              <w:t xml:space="preserve">Centrifuge for 5 min at 500 </w:t>
            </w:r>
            <w:r>
              <w:rPr>
                <w:i/>
              </w:rPr>
              <w:t xml:space="preserve">g </w:t>
            </w:r>
            <w:r>
              <w:t>at 4</w:t>
            </w:r>
            <w:r>
              <w:rPr>
                <w:vertAlign w:val="superscript"/>
              </w:rPr>
              <w:t>◦</w:t>
            </w:r>
            <w:r>
              <w:t>C. Remove supernatant</w:t>
            </w:r>
          </w:p>
          <w:p w:rsidR="003A0C2F" w:rsidRDefault="00F166FB">
            <w:pPr>
              <w:numPr>
                <w:ilvl w:val="0"/>
                <w:numId w:val="20"/>
              </w:numPr>
              <w:spacing w:after="0" w:line="259" w:lineRule="auto"/>
              <w:ind w:left="439" w:right="0" w:hanging="255"/>
              <w:jc w:val="left"/>
            </w:pPr>
            <w:r>
              <w:t xml:space="preserve">Resuspend nuclei in 200 </w:t>
            </w:r>
            <w:r>
              <w:rPr>
                <w:i/>
              </w:rPr>
              <w:t>µ</w:t>
            </w:r>
            <w:r>
              <w:t>L CutSmart Reaction buffer</w:t>
            </w:r>
          </w:p>
        </w:tc>
      </w:tr>
      <w:tr w:rsidR="003A0C2F">
        <w:trPr>
          <w:trHeight w:val="1611"/>
        </w:trPr>
        <w:tc>
          <w:tcPr>
            <w:tcW w:w="2098" w:type="dxa"/>
            <w:tcBorders>
              <w:top w:val="nil"/>
              <w:left w:val="nil"/>
              <w:bottom w:val="nil"/>
              <w:right w:val="nil"/>
            </w:tcBorders>
          </w:tcPr>
          <w:p w:rsidR="003A0C2F" w:rsidRDefault="00F166FB">
            <w:pPr>
              <w:spacing w:after="425" w:line="245" w:lineRule="auto"/>
              <w:ind w:left="0" w:right="0" w:firstLine="0"/>
              <w:jc w:val="left"/>
            </w:pPr>
            <w:r>
              <w:rPr>
                <w:rFonts w:ascii="Calibri" w:eastAsia="Calibri" w:hAnsi="Calibri" w:cs="Calibri"/>
                <w:b/>
                <w:i/>
              </w:rPr>
              <w:t>treatment of chromatin for m</w:t>
            </w:r>
            <w:r>
              <w:rPr>
                <w:vertAlign w:val="superscript"/>
              </w:rPr>
              <w:t>6</w:t>
            </w:r>
            <w:r>
              <w:rPr>
                <w:rFonts w:ascii="Calibri" w:eastAsia="Calibri" w:hAnsi="Calibri" w:cs="Calibri"/>
                <w:b/>
                <w:i/>
              </w:rPr>
              <w:t>A-SMAC-seq (human cells)</w:t>
            </w:r>
          </w:p>
          <w:p w:rsidR="003A0C2F" w:rsidRDefault="00F166FB">
            <w:pPr>
              <w:spacing w:after="0" w:line="259" w:lineRule="auto"/>
              <w:ind w:left="0" w:right="0" w:firstLine="0"/>
              <w:jc w:val="left"/>
            </w:pPr>
            <w:r>
              <w:rPr>
                <w:rFonts w:ascii="Calibri" w:eastAsia="Calibri" w:hAnsi="Calibri" w:cs="Calibri"/>
                <w:b/>
              </w:rPr>
              <w:t xml:space="preserve">3.5 </w:t>
            </w:r>
            <w:r>
              <w:rPr>
                <w:rFonts w:ascii="Calibri" w:eastAsia="Calibri" w:hAnsi="Calibri" w:cs="Calibri"/>
                <w:b/>
                <w:i/>
              </w:rPr>
              <w:t>Enzymatic</w:t>
            </w:r>
          </w:p>
        </w:tc>
        <w:tc>
          <w:tcPr>
            <w:tcW w:w="6180" w:type="dxa"/>
            <w:tcBorders>
              <w:top w:val="nil"/>
              <w:left w:val="nil"/>
              <w:bottom w:val="nil"/>
              <w:right w:val="nil"/>
            </w:tcBorders>
          </w:tcPr>
          <w:p w:rsidR="003A0C2F" w:rsidRDefault="00F166FB">
            <w:pPr>
              <w:numPr>
                <w:ilvl w:val="0"/>
                <w:numId w:val="21"/>
              </w:numPr>
              <w:spacing w:after="93" w:line="259" w:lineRule="auto"/>
              <w:ind w:left="439" w:right="0" w:hanging="255"/>
              <w:jc w:val="left"/>
            </w:pPr>
            <w:r>
              <w:t>Add 200 U of EcoGII</w:t>
            </w:r>
          </w:p>
          <w:p w:rsidR="003A0C2F" w:rsidRDefault="00F166FB">
            <w:pPr>
              <w:numPr>
                <w:ilvl w:val="0"/>
                <w:numId w:val="21"/>
              </w:numPr>
              <w:spacing w:after="92" w:line="259" w:lineRule="auto"/>
              <w:ind w:left="439" w:right="0" w:hanging="255"/>
              <w:jc w:val="left"/>
            </w:pPr>
            <w:r>
              <w:t>Add SAM at 0.6 mM and sucrose at 300 mM</w:t>
            </w:r>
          </w:p>
          <w:p w:rsidR="003A0C2F" w:rsidRDefault="00F166FB">
            <w:pPr>
              <w:numPr>
                <w:ilvl w:val="0"/>
                <w:numId w:val="21"/>
              </w:numPr>
              <w:spacing w:after="203" w:line="259" w:lineRule="auto"/>
              <w:ind w:left="439" w:right="0" w:hanging="255"/>
              <w:jc w:val="left"/>
            </w:pPr>
            <w:r>
              <w:t>Incubate at 37</w:t>
            </w:r>
            <w:r>
              <w:rPr>
                <w:vertAlign w:val="superscript"/>
              </w:rPr>
              <w:t>◦</w:t>
            </w:r>
            <w:r>
              <w:t>C for 10 min.</w:t>
            </w:r>
          </w:p>
          <w:p w:rsidR="003A0C2F" w:rsidRDefault="00F166FB">
            <w:pPr>
              <w:spacing w:after="0" w:line="259" w:lineRule="auto"/>
              <w:ind w:left="0" w:right="0" w:firstLine="0"/>
              <w:jc w:val="left"/>
            </w:pPr>
            <w:r>
              <w:t>Stop reaction by adding SDS to a concentration of 0.2%.</w:t>
            </w:r>
          </w:p>
        </w:tc>
      </w:tr>
      <w:tr w:rsidR="003A0C2F">
        <w:trPr>
          <w:trHeight w:val="2849"/>
        </w:trPr>
        <w:tc>
          <w:tcPr>
            <w:tcW w:w="2098" w:type="dxa"/>
            <w:tcBorders>
              <w:top w:val="nil"/>
              <w:left w:val="nil"/>
              <w:bottom w:val="nil"/>
              <w:right w:val="nil"/>
            </w:tcBorders>
          </w:tcPr>
          <w:p w:rsidR="003A0C2F" w:rsidRDefault="00F166FB">
            <w:pPr>
              <w:spacing w:after="0" w:line="245" w:lineRule="auto"/>
              <w:ind w:left="0" w:right="0" w:firstLine="0"/>
              <w:jc w:val="left"/>
            </w:pPr>
            <w:r>
              <w:rPr>
                <w:rFonts w:ascii="Calibri" w:eastAsia="Calibri" w:hAnsi="Calibri" w:cs="Calibri"/>
                <w:b/>
                <w:i/>
              </w:rPr>
              <w:t>treatment of chromatin for m</w:t>
            </w:r>
            <w:r>
              <w:rPr>
                <w:vertAlign w:val="superscript"/>
              </w:rPr>
              <w:t>6</w:t>
            </w:r>
            <w:r>
              <w:rPr>
                <w:rFonts w:ascii="Calibri" w:eastAsia="Calibri" w:hAnsi="Calibri" w:cs="Calibri"/>
                <w:b/>
                <w:i/>
              </w:rPr>
              <w:t>A-GpC-CpGSMAC-seq</w:t>
            </w:r>
          </w:p>
          <w:p w:rsidR="003A0C2F" w:rsidRDefault="00F166FB">
            <w:pPr>
              <w:spacing w:after="0" w:line="259" w:lineRule="auto"/>
              <w:ind w:left="0" w:right="0" w:firstLine="0"/>
              <w:jc w:val="left"/>
            </w:pPr>
            <w:r>
              <w:rPr>
                <w:rFonts w:ascii="Calibri" w:eastAsia="Calibri" w:hAnsi="Calibri" w:cs="Calibri"/>
                <w:b/>
                <w:i/>
              </w:rPr>
              <w:t>(Drosophila cells)</w:t>
            </w:r>
          </w:p>
        </w:tc>
        <w:tc>
          <w:tcPr>
            <w:tcW w:w="6180" w:type="dxa"/>
            <w:tcBorders>
              <w:top w:val="nil"/>
              <w:left w:val="nil"/>
              <w:bottom w:val="nil"/>
              <w:right w:val="nil"/>
            </w:tcBorders>
          </w:tcPr>
          <w:p w:rsidR="003A0C2F" w:rsidRDefault="00F166FB">
            <w:pPr>
              <w:numPr>
                <w:ilvl w:val="0"/>
                <w:numId w:val="22"/>
              </w:numPr>
              <w:spacing w:after="93" w:line="259" w:lineRule="auto"/>
              <w:ind w:left="439" w:right="0" w:hanging="255"/>
              <w:jc w:val="left"/>
            </w:pPr>
            <w:r>
              <w:t>Add 200 U of M.CviPI and 200 U of EcoGII</w:t>
            </w:r>
          </w:p>
          <w:p w:rsidR="003A0C2F" w:rsidRDefault="00F166FB">
            <w:pPr>
              <w:numPr>
                <w:ilvl w:val="0"/>
                <w:numId w:val="22"/>
              </w:numPr>
              <w:spacing w:after="87" w:line="254" w:lineRule="auto"/>
              <w:ind w:left="439" w:right="0" w:hanging="255"/>
              <w:jc w:val="left"/>
            </w:pPr>
            <w:r>
              <w:t>Add SAM at a final concentration of 0.6 mM and sucrose at a final concentration of 300 mM</w:t>
            </w:r>
          </w:p>
          <w:p w:rsidR="003A0C2F" w:rsidRDefault="00F166FB">
            <w:pPr>
              <w:numPr>
                <w:ilvl w:val="0"/>
                <w:numId w:val="22"/>
              </w:numPr>
              <w:spacing w:after="110" w:line="259" w:lineRule="auto"/>
              <w:ind w:left="439" w:right="0" w:hanging="255"/>
              <w:jc w:val="left"/>
            </w:pPr>
            <w:r>
              <w:t>Incubate at 30</w:t>
            </w:r>
            <w:r>
              <w:rPr>
                <w:vertAlign w:val="superscript"/>
              </w:rPr>
              <w:t>◦</w:t>
            </w:r>
            <w:r>
              <w:t>C for 7.5 min.</w:t>
            </w:r>
          </w:p>
          <w:p w:rsidR="003A0C2F" w:rsidRDefault="00F166FB">
            <w:pPr>
              <w:numPr>
                <w:ilvl w:val="0"/>
                <w:numId w:val="22"/>
              </w:numPr>
              <w:spacing w:after="87" w:line="254" w:lineRule="auto"/>
              <w:ind w:left="439" w:right="0" w:hanging="255"/>
              <w:jc w:val="left"/>
            </w:pPr>
            <w:r>
              <w:t xml:space="preserve">Add 128 pmol SAM (= 4 </w:t>
            </w:r>
            <w:r>
              <w:rPr>
                <w:i/>
              </w:rPr>
              <w:t>µ</w:t>
            </w:r>
            <w:r>
              <w:t>L 32 mM solution) and another 100 U of both enzymes</w:t>
            </w:r>
          </w:p>
          <w:p w:rsidR="003A0C2F" w:rsidRDefault="00F166FB">
            <w:pPr>
              <w:numPr>
                <w:ilvl w:val="0"/>
                <w:numId w:val="22"/>
              </w:numPr>
              <w:spacing w:after="110" w:line="259" w:lineRule="auto"/>
              <w:ind w:left="439" w:right="0" w:hanging="255"/>
              <w:jc w:val="left"/>
            </w:pPr>
            <w:r>
              <w:t>Incubate at 30</w:t>
            </w:r>
            <w:r>
              <w:rPr>
                <w:vertAlign w:val="superscript"/>
              </w:rPr>
              <w:t>◦</w:t>
            </w:r>
            <w:r>
              <w:t>C for 7.5 min.</w:t>
            </w:r>
          </w:p>
          <w:p w:rsidR="003A0C2F" w:rsidRDefault="00F166FB">
            <w:pPr>
              <w:numPr>
                <w:ilvl w:val="0"/>
                <w:numId w:val="22"/>
              </w:numPr>
              <w:spacing w:after="93" w:line="259" w:lineRule="auto"/>
              <w:ind w:left="439" w:right="0" w:hanging="255"/>
              <w:jc w:val="left"/>
            </w:pPr>
            <w:r>
              <w:t>Add 60 U of M.SssI</w:t>
            </w:r>
          </w:p>
          <w:p w:rsidR="003A0C2F" w:rsidRDefault="00F166FB">
            <w:pPr>
              <w:numPr>
                <w:ilvl w:val="0"/>
                <w:numId w:val="22"/>
              </w:numPr>
              <w:spacing w:after="106" w:line="259" w:lineRule="auto"/>
              <w:ind w:left="439" w:right="0" w:hanging="255"/>
              <w:jc w:val="left"/>
            </w:pPr>
            <w:r>
              <w:t>Add 128 pmol</w:t>
            </w:r>
            <w:r>
              <w:t xml:space="preserve"> SAM</w:t>
            </w:r>
          </w:p>
          <w:p w:rsidR="003A0C2F" w:rsidRDefault="00F166FB">
            <w:pPr>
              <w:numPr>
                <w:ilvl w:val="0"/>
                <w:numId w:val="22"/>
              </w:numPr>
              <w:spacing w:after="0" w:line="259" w:lineRule="auto"/>
              <w:ind w:left="439" w:right="0" w:hanging="255"/>
              <w:jc w:val="left"/>
            </w:pPr>
            <w:r>
              <w:t>Add MgCl</w:t>
            </w:r>
            <w:r>
              <w:rPr>
                <w:vertAlign w:val="subscript"/>
              </w:rPr>
              <w:t xml:space="preserve">2 </w:t>
            </w:r>
            <w:r>
              <w:t>at 10 mM</w:t>
            </w:r>
          </w:p>
        </w:tc>
      </w:tr>
    </w:tbl>
    <w:p w:rsidR="003A0C2F" w:rsidRDefault="00F166FB">
      <w:pPr>
        <w:spacing w:after="214"/>
        <w:ind w:left="2276" w:right="725"/>
      </w:pPr>
      <w:r>
        <w:t>9. Incubate at 30</w:t>
      </w:r>
      <w:r>
        <w:rPr>
          <w:vertAlign w:val="superscript"/>
        </w:rPr>
        <w:t>◦</w:t>
      </w:r>
      <w:r>
        <w:t>C for 7.5 min.</w:t>
      </w:r>
    </w:p>
    <w:p w:rsidR="003A0C2F" w:rsidRDefault="00F166FB">
      <w:pPr>
        <w:spacing w:after="175"/>
        <w:ind w:left="2108" w:right="725"/>
      </w:pPr>
      <w:r>
        <w:t>Stop reaction by adding SDS to a concentration of 0.2%.</w:t>
      </w:r>
    </w:p>
    <w:p w:rsidR="003A0C2F" w:rsidRDefault="00F166FB">
      <w:pPr>
        <w:pStyle w:val="Heading2"/>
        <w:ind w:left="-5" w:right="2579"/>
      </w:pPr>
      <w:r>
        <w:rPr>
          <w:i w:val="0"/>
        </w:rPr>
        <w:lastRenderedPageBreak/>
        <w:t xml:space="preserve">3.6 </w:t>
      </w:r>
      <w:r>
        <w:t>HMW DNA</w:t>
      </w:r>
    </w:p>
    <w:p w:rsidR="003A0C2F" w:rsidRDefault="00F166FB">
      <w:pPr>
        <w:tabs>
          <w:tab w:val="center" w:pos="5187"/>
        </w:tabs>
        <w:spacing w:after="8"/>
        <w:ind w:left="0" w:right="0" w:firstLine="0"/>
        <w:jc w:val="left"/>
      </w:pPr>
      <w:r>
        <w:rPr>
          <w:rFonts w:ascii="Calibri" w:eastAsia="Calibri" w:hAnsi="Calibri" w:cs="Calibri"/>
          <w:b/>
          <w:i/>
        </w:rPr>
        <w:t>isolation</w:t>
      </w:r>
      <w:r>
        <w:rPr>
          <w:rFonts w:ascii="Calibri" w:eastAsia="Calibri" w:hAnsi="Calibri" w:cs="Calibri"/>
          <w:b/>
          <w:i/>
        </w:rPr>
        <w:tab/>
      </w:r>
      <w:r>
        <w:t>Here we describe HMW DNA using the Qiagen MagAttract HMW DNA</w:t>
      </w:r>
    </w:p>
    <w:p w:rsidR="003A0C2F" w:rsidRDefault="00F166FB">
      <w:pPr>
        <w:spacing w:after="86" w:line="265" w:lineRule="auto"/>
        <w:ind w:right="920"/>
        <w:jc w:val="right"/>
      </w:pPr>
      <w:r>
        <w:t>Kit. Many other kits/protocols can also be used with similar success</w:t>
      </w:r>
    </w:p>
    <w:p w:rsidR="003A0C2F" w:rsidRDefault="00F166FB">
      <w:pPr>
        <w:numPr>
          <w:ilvl w:val="0"/>
          <w:numId w:val="7"/>
        </w:numPr>
        <w:spacing w:after="94" w:line="260" w:lineRule="auto"/>
        <w:ind w:right="725" w:hanging="354"/>
      </w:pPr>
      <w:r>
        <w:t xml:space="preserve">Add 20 </w:t>
      </w:r>
      <w:r>
        <w:rPr>
          <w:i/>
        </w:rPr>
        <w:t>µ</w:t>
      </w:r>
      <w:r>
        <w:t>L Proteinase K into a 2 mL tube.</w:t>
      </w:r>
    </w:p>
    <w:p w:rsidR="003A0C2F" w:rsidRDefault="00F166FB">
      <w:pPr>
        <w:numPr>
          <w:ilvl w:val="0"/>
          <w:numId w:val="7"/>
        </w:numPr>
        <w:ind w:right="725" w:hanging="354"/>
      </w:pPr>
      <w:r>
        <w:t xml:space="preserve">Add 200 </w:t>
      </w:r>
      <w:r>
        <w:rPr>
          <w:i/>
        </w:rPr>
        <w:t>µ</w:t>
      </w:r>
      <w:r>
        <w:t>l of sample</w:t>
      </w:r>
    </w:p>
    <w:p w:rsidR="003A0C2F" w:rsidRDefault="00F166FB">
      <w:pPr>
        <w:numPr>
          <w:ilvl w:val="0"/>
          <w:numId w:val="7"/>
        </w:numPr>
        <w:ind w:right="725" w:hanging="354"/>
      </w:pPr>
      <w:r>
        <w:t xml:space="preserve">Add 4 </w:t>
      </w:r>
      <w:r>
        <w:rPr>
          <w:i/>
        </w:rPr>
        <w:t>µ</w:t>
      </w:r>
      <w:r>
        <w:t xml:space="preserve">L RNase A solution and 150 </w:t>
      </w:r>
      <w:r>
        <w:rPr>
          <w:i/>
        </w:rPr>
        <w:t>µ</w:t>
      </w:r>
      <w:r>
        <w:t>L Buffer AL. Mix by vortexing.</w:t>
      </w:r>
    </w:p>
    <w:p w:rsidR="003A0C2F" w:rsidRDefault="00F166FB">
      <w:pPr>
        <w:numPr>
          <w:ilvl w:val="0"/>
          <w:numId w:val="7"/>
        </w:numPr>
        <w:spacing w:after="94" w:line="260" w:lineRule="auto"/>
        <w:ind w:right="725" w:hanging="354"/>
      </w:pPr>
      <w:r>
        <w:t>Incubate at room temperature for 30 min.</w:t>
      </w:r>
    </w:p>
    <w:p w:rsidR="003A0C2F" w:rsidRDefault="00F166FB">
      <w:pPr>
        <w:numPr>
          <w:ilvl w:val="0"/>
          <w:numId w:val="7"/>
        </w:numPr>
        <w:spacing w:after="94" w:line="260" w:lineRule="auto"/>
        <w:ind w:right="725" w:hanging="354"/>
      </w:pPr>
      <w:r>
        <w:t xml:space="preserve">Add 15 </w:t>
      </w:r>
      <w:r>
        <w:rPr>
          <w:i/>
        </w:rPr>
        <w:t>µ</w:t>
      </w:r>
      <w:r>
        <w:t>L MagAttra</w:t>
      </w:r>
      <w:r>
        <w:t>ct Suspension G beads.</w:t>
      </w:r>
    </w:p>
    <w:p w:rsidR="003A0C2F" w:rsidRDefault="00F166FB">
      <w:pPr>
        <w:numPr>
          <w:ilvl w:val="0"/>
          <w:numId w:val="7"/>
        </w:numPr>
        <w:ind w:right="725" w:hanging="354"/>
      </w:pPr>
      <w:r>
        <w:t xml:space="preserve">Add 280 </w:t>
      </w:r>
      <w:r>
        <w:rPr>
          <w:i/>
        </w:rPr>
        <w:t>µ</w:t>
      </w:r>
      <w:r>
        <w:t>L Buffer MB and incubate at room temperature for 3 min at 1400 rpm in a Thermomixer.</w:t>
      </w:r>
    </w:p>
    <w:p w:rsidR="003A0C2F" w:rsidRDefault="00F166FB">
      <w:pPr>
        <w:numPr>
          <w:ilvl w:val="0"/>
          <w:numId w:val="7"/>
        </w:numPr>
        <w:ind w:right="725" w:hanging="354"/>
      </w:pPr>
      <w:r>
        <w:t>Separate the beads on a magnetic stand, carefully and completely remove the supernatant</w:t>
      </w:r>
    </w:p>
    <w:p w:rsidR="003A0C2F" w:rsidRDefault="00F166FB">
      <w:pPr>
        <w:numPr>
          <w:ilvl w:val="0"/>
          <w:numId w:val="7"/>
        </w:numPr>
        <w:ind w:right="725" w:hanging="354"/>
      </w:pPr>
      <w:r>
        <w:t xml:space="preserve">Add 700 </w:t>
      </w:r>
      <w:r>
        <w:rPr>
          <w:i/>
        </w:rPr>
        <w:t>µ</w:t>
      </w:r>
      <w:r>
        <w:t>L Buffer MW1 and incubate at room temperature for 1 min at 1400 rpm in a Thermomixer.</w:t>
      </w:r>
    </w:p>
    <w:p w:rsidR="003A0C2F" w:rsidRDefault="00F166FB">
      <w:pPr>
        <w:numPr>
          <w:ilvl w:val="0"/>
          <w:numId w:val="7"/>
        </w:numPr>
        <w:ind w:right="725" w:hanging="354"/>
      </w:pPr>
      <w:r>
        <w:t>Separate the beads on a magnetic stand, carefully and completely remove the supernatant</w:t>
      </w:r>
    </w:p>
    <w:p w:rsidR="003A0C2F" w:rsidRDefault="00F166FB">
      <w:pPr>
        <w:numPr>
          <w:ilvl w:val="0"/>
          <w:numId w:val="7"/>
        </w:numPr>
        <w:ind w:right="725" w:hanging="354"/>
      </w:pPr>
      <w:r>
        <w:t xml:space="preserve">Add 700 </w:t>
      </w:r>
      <w:r>
        <w:rPr>
          <w:i/>
        </w:rPr>
        <w:t>µ</w:t>
      </w:r>
      <w:r>
        <w:t xml:space="preserve">L Buffer MW1 and incubate at room temperature for 1 min at 1400 rpm in a </w:t>
      </w:r>
      <w:r>
        <w:t>Thermomixer.</w:t>
      </w:r>
    </w:p>
    <w:p w:rsidR="003A0C2F" w:rsidRDefault="00F166FB">
      <w:pPr>
        <w:numPr>
          <w:ilvl w:val="0"/>
          <w:numId w:val="7"/>
        </w:numPr>
        <w:ind w:right="725" w:hanging="354"/>
      </w:pPr>
      <w:r>
        <w:t>Separate the beads on a magnetic stand, carefully and completely remove the supernatant</w:t>
      </w:r>
    </w:p>
    <w:p w:rsidR="003A0C2F" w:rsidRDefault="00F166FB">
      <w:pPr>
        <w:numPr>
          <w:ilvl w:val="0"/>
          <w:numId w:val="7"/>
        </w:numPr>
        <w:ind w:right="725" w:hanging="354"/>
      </w:pPr>
      <w:r>
        <w:t xml:space="preserve">Add 700 </w:t>
      </w:r>
      <w:r>
        <w:rPr>
          <w:i/>
        </w:rPr>
        <w:t>µ</w:t>
      </w:r>
      <w:r>
        <w:t>L Buffer PE and incubate at room temperature for 1 min at 1400 rpm in a Thermomixer.</w:t>
      </w:r>
    </w:p>
    <w:p w:rsidR="003A0C2F" w:rsidRDefault="00F166FB">
      <w:pPr>
        <w:numPr>
          <w:ilvl w:val="0"/>
          <w:numId w:val="7"/>
        </w:numPr>
        <w:ind w:right="725" w:hanging="354"/>
      </w:pPr>
      <w:r>
        <w:t>Separate the beads on a magnetic stand, carefully and complet</w:t>
      </w:r>
      <w:r>
        <w:t>ely remove the supernatant</w:t>
      </w:r>
    </w:p>
    <w:p w:rsidR="003A0C2F" w:rsidRDefault="00F166FB">
      <w:pPr>
        <w:numPr>
          <w:ilvl w:val="0"/>
          <w:numId w:val="7"/>
        </w:numPr>
        <w:ind w:right="725" w:hanging="354"/>
      </w:pPr>
      <w:r>
        <w:t xml:space="preserve">Add 700 </w:t>
      </w:r>
      <w:r>
        <w:rPr>
          <w:i/>
        </w:rPr>
        <w:t>µ</w:t>
      </w:r>
      <w:r>
        <w:t>L Buffer PE and incubate at room temperature for 1 min at 1400 rpm in a Thermomixer.</w:t>
      </w:r>
    </w:p>
    <w:p w:rsidR="003A0C2F" w:rsidRDefault="00F166FB">
      <w:pPr>
        <w:numPr>
          <w:ilvl w:val="0"/>
          <w:numId w:val="7"/>
        </w:numPr>
        <w:ind w:right="725" w:hanging="354"/>
      </w:pPr>
      <w:r>
        <w:t>Separate the beads on a magnetic stand, carefully and completely remove the supernatant</w:t>
      </w:r>
    </w:p>
    <w:p w:rsidR="003A0C2F" w:rsidRDefault="00F166FB">
      <w:pPr>
        <w:numPr>
          <w:ilvl w:val="0"/>
          <w:numId w:val="7"/>
        </w:numPr>
        <w:ind w:right="725" w:hanging="354"/>
      </w:pPr>
      <w:r>
        <w:t xml:space="preserve">Add 700 </w:t>
      </w:r>
      <w:r>
        <w:rPr>
          <w:i/>
        </w:rPr>
        <w:t>µ</w:t>
      </w:r>
      <w:r>
        <w:t>L nuclear-free H</w:t>
      </w:r>
      <w:r>
        <w:rPr>
          <w:vertAlign w:val="subscript"/>
        </w:rPr>
        <w:t>2</w:t>
      </w:r>
      <w:r>
        <w:t>O by slowly pipetting</w:t>
      </w:r>
      <w:r>
        <w:t xml:space="preserve"> on the side of the tube opposite to the beads while on the magnetic stand. Do not disturb the pellet, otherwise DNA loss an ensue.</w:t>
      </w:r>
    </w:p>
    <w:p w:rsidR="003A0C2F" w:rsidRDefault="00F166FB">
      <w:pPr>
        <w:numPr>
          <w:ilvl w:val="0"/>
          <w:numId w:val="7"/>
        </w:numPr>
        <w:spacing w:after="94" w:line="260" w:lineRule="auto"/>
        <w:ind w:right="725" w:hanging="354"/>
      </w:pPr>
      <w:r>
        <w:t>Remove H</w:t>
      </w:r>
      <w:r>
        <w:rPr>
          <w:vertAlign w:val="subscript"/>
        </w:rPr>
        <w:t>2</w:t>
      </w:r>
      <w:r>
        <w:t>O, and repeat the H</w:t>
      </w:r>
      <w:r>
        <w:rPr>
          <w:vertAlign w:val="subscript"/>
        </w:rPr>
        <w:t>2</w:t>
      </w:r>
      <w:r>
        <w:t>O wash step</w:t>
      </w:r>
    </w:p>
    <w:p w:rsidR="003A0C2F" w:rsidRDefault="00F166FB">
      <w:pPr>
        <w:numPr>
          <w:ilvl w:val="0"/>
          <w:numId w:val="7"/>
        </w:numPr>
        <w:ind w:right="725" w:hanging="354"/>
      </w:pPr>
      <w:r>
        <w:t xml:space="preserve">Add an appropriate volume of Buffer AE, i.e. 100–200 </w:t>
      </w:r>
      <w:r>
        <w:rPr>
          <w:i/>
        </w:rPr>
        <w:t>µ</w:t>
      </w:r>
      <w:r>
        <w:t>L (</w:t>
      </w:r>
      <w:r>
        <w:rPr>
          <w:i/>
        </w:rPr>
        <w:t xml:space="preserve">see </w:t>
      </w:r>
      <w:r>
        <w:rPr>
          <w:b/>
        </w:rPr>
        <w:t xml:space="preserve">Note </w:t>
      </w:r>
      <w:r>
        <w:rPr>
          <w:b/>
          <w:color w:val="E4322B"/>
        </w:rPr>
        <w:t>10</w:t>
      </w:r>
      <w:r>
        <w:t>).</w:t>
      </w:r>
    </w:p>
    <w:p w:rsidR="003A0C2F" w:rsidRDefault="00F166FB">
      <w:pPr>
        <w:numPr>
          <w:ilvl w:val="0"/>
          <w:numId w:val="7"/>
        </w:numPr>
        <w:ind w:right="725" w:hanging="354"/>
      </w:pPr>
      <w:r>
        <w:t>Incubate at room temperature for 3 min at 1400 rpm in a Thermomixer.</w:t>
      </w:r>
    </w:p>
    <w:p w:rsidR="003A0C2F" w:rsidRDefault="00F166FB">
      <w:pPr>
        <w:numPr>
          <w:ilvl w:val="0"/>
          <w:numId w:val="7"/>
        </w:numPr>
        <w:ind w:right="725" w:hanging="354"/>
      </w:pPr>
      <w:r>
        <w:t>Separate the beads on a magnetic stand, carefully transfer the supernatant to a new DNA lo-bind tube using a wide bore tip.</w:t>
      </w:r>
    </w:p>
    <w:p w:rsidR="003A0C2F" w:rsidRDefault="00F166FB">
      <w:pPr>
        <w:numPr>
          <w:ilvl w:val="0"/>
          <w:numId w:val="7"/>
        </w:numPr>
        <w:spacing w:after="86" w:line="265" w:lineRule="auto"/>
        <w:ind w:right="725" w:hanging="354"/>
      </w:pPr>
      <w:r>
        <w:t>Measure DNA concentration using a Qubit dsDNA HS assay.</w:t>
      </w:r>
    </w:p>
    <w:p w:rsidR="003A0C2F" w:rsidRDefault="00F166FB">
      <w:pPr>
        <w:numPr>
          <w:ilvl w:val="0"/>
          <w:numId w:val="7"/>
        </w:numPr>
        <w:ind w:right="725" w:hanging="354"/>
      </w:pPr>
      <w:r>
        <w:lastRenderedPageBreak/>
        <w:t>Evaluat</w:t>
      </w:r>
      <w:r>
        <w:t>e the DNA size distribution profile on the TapeStaion using the gDNA screentape and reagents</w:t>
      </w:r>
    </w:p>
    <w:p w:rsidR="003A0C2F" w:rsidRDefault="00F166FB">
      <w:pPr>
        <w:numPr>
          <w:ilvl w:val="0"/>
          <w:numId w:val="7"/>
        </w:numPr>
        <w:spacing w:after="94" w:line="260" w:lineRule="auto"/>
        <w:ind w:right="725" w:hanging="354"/>
      </w:pPr>
      <w:r>
        <w:t>Store the DNA at 4</w:t>
      </w:r>
      <w:r>
        <w:rPr>
          <w:vertAlign w:val="superscript"/>
        </w:rPr>
        <w:t>◦</w:t>
      </w:r>
      <w:r>
        <w:t>C (</w:t>
      </w:r>
      <w:r>
        <w:rPr>
          <w:i/>
        </w:rPr>
        <w:t xml:space="preserve">see </w:t>
      </w:r>
      <w:r>
        <w:rPr>
          <w:b/>
        </w:rPr>
        <w:t xml:space="preserve">Note </w:t>
      </w:r>
      <w:r>
        <w:rPr>
          <w:b/>
          <w:color w:val="E4322B"/>
        </w:rPr>
        <w:t>11</w:t>
      </w:r>
      <w:r>
        <w:t>)</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1637"/>
        <w:gridCol w:w="461"/>
        <w:gridCol w:w="6179"/>
      </w:tblGrid>
      <w:tr w:rsidR="003A0C2F">
        <w:trPr>
          <w:trHeight w:val="171"/>
        </w:trPr>
        <w:tc>
          <w:tcPr>
            <w:tcW w:w="163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rPr>
              <w:t xml:space="preserve">3.7 </w:t>
            </w:r>
            <w:r>
              <w:rPr>
                <w:rFonts w:ascii="Calibri" w:eastAsia="Calibri" w:hAnsi="Calibri" w:cs="Calibri"/>
                <w:b/>
                <w:i/>
              </w:rPr>
              <w:t>DNA size</w:t>
            </w:r>
          </w:p>
        </w:tc>
        <w:tc>
          <w:tcPr>
            <w:tcW w:w="461" w:type="dxa"/>
            <w:tcBorders>
              <w:top w:val="nil"/>
              <w:left w:val="nil"/>
              <w:bottom w:val="nil"/>
              <w:right w:val="nil"/>
            </w:tcBorders>
          </w:tcPr>
          <w:p w:rsidR="003A0C2F" w:rsidRDefault="003A0C2F">
            <w:pPr>
              <w:spacing w:after="160" w:line="259" w:lineRule="auto"/>
              <w:ind w:left="0" w:right="0" w:firstLine="0"/>
              <w:jc w:val="left"/>
            </w:pP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7565"/>
        </w:trPr>
        <w:tc>
          <w:tcPr>
            <w:tcW w:w="163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t>selection</w:t>
            </w:r>
          </w:p>
        </w:tc>
        <w:tc>
          <w:tcPr>
            <w:tcW w:w="461" w:type="dxa"/>
            <w:tcBorders>
              <w:top w:val="nil"/>
              <w:left w:val="nil"/>
              <w:bottom w:val="nil"/>
              <w:right w:val="nil"/>
            </w:tcBorders>
          </w:tcPr>
          <w:p w:rsidR="003A0C2F" w:rsidRDefault="003A0C2F">
            <w:pPr>
              <w:spacing w:after="160" w:line="259" w:lineRule="auto"/>
              <w:ind w:left="0" w:right="0" w:firstLine="0"/>
              <w:jc w:val="left"/>
            </w:pPr>
          </w:p>
        </w:tc>
        <w:tc>
          <w:tcPr>
            <w:tcW w:w="6180" w:type="dxa"/>
            <w:tcBorders>
              <w:top w:val="nil"/>
              <w:left w:val="nil"/>
              <w:bottom w:val="nil"/>
              <w:right w:val="nil"/>
            </w:tcBorders>
          </w:tcPr>
          <w:p w:rsidR="003A0C2F" w:rsidRDefault="00F166FB">
            <w:pPr>
              <w:spacing w:after="96" w:line="259" w:lineRule="auto"/>
              <w:ind w:left="0" w:right="0" w:firstLine="0"/>
            </w:pPr>
            <w:r>
              <w:t>Selection of very HMW DNA using the Circulomics Short Read Eliminator Kit is described here. Use either the SRE or the SRE XL version depending on the properties of the genome studied and the input DNA size distribution. The SRE XL version will remove frag</w:t>
            </w:r>
            <w:r>
              <w:t xml:space="preserve">ments </w:t>
            </w:r>
            <w:r>
              <w:t>≤</w:t>
            </w:r>
            <w:r>
              <w:t xml:space="preserve">40 kbp while the SRE one will eliminate fragments </w:t>
            </w:r>
            <w:r>
              <w:t>≤</w:t>
            </w:r>
            <w:r>
              <w:t>25 kbp.</w:t>
            </w:r>
          </w:p>
          <w:p w:rsidR="003A0C2F" w:rsidRDefault="00F166FB">
            <w:pPr>
              <w:numPr>
                <w:ilvl w:val="0"/>
                <w:numId w:val="23"/>
              </w:numPr>
              <w:spacing w:after="74" w:line="279" w:lineRule="auto"/>
              <w:ind w:right="0" w:hanging="354"/>
              <w:jc w:val="left"/>
            </w:pPr>
            <w:r>
              <w:t xml:space="preserve">Start with a total volume of 60 </w:t>
            </w:r>
            <w:r>
              <w:rPr>
                <w:i/>
              </w:rPr>
              <w:t>µ</w:t>
            </w:r>
            <w:r>
              <w:t>L at DNA concentration between 50 and 150 ng/</w:t>
            </w:r>
            <w:r>
              <w:rPr>
                <w:i/>
              </w:rPr>
              <w:t>µ</w:t>
            </w:r>
            <w:r>
              <w:t>L in a 1.5 mL DNA LoBind tube.</w:t>
            </w:r>
          </w:p>
          <w:p w:rsidR="003A0C2F" w:rsidRDefault="00F166FB">
            <w:pPr>
              <w:numPr>
                <w:ilvl w:val="0"/>
                <w:numId w:val="23"/>
              </w:numPr>
              <w:spacing w:after="93" w:line="259" w:lineRule="auto"/>
              <w:ind w:right="0" w:hanging="354"/>
              <w:jc w:val="left"/>
            </w:pPr>
            <w:r>
              <w:t xml:space="preserve">Add 60 </w:t>
            </w:r>
            <w:r>
              <w:rPr>
                <w:i/>
              </w:rPr>
              <w:t>µ</w:t>
            </w:r>
            <w:r>
              <w:t>L of Buffer SRE or Buffer SRE XL. Mix by tapping</w:t>
            </w:r>
          </w:p>
          <w:p w:rsidR="003A0C2F" w:rsidRDefault="00F166FB">
            <w:pPr>
              <w:numPr>
                <w:ilvl w:val="0"/>
                <w:numId w:val="23"/>
              </w:numPr>
              <w:spacing w:after="93" w:line="259" w:lineRule="auto"/>
              <w:ind w:right="0" w:hanging="354"/>
              <w:jc w:val="left"/>
            </w:pPr>
            <w:r>
              <w:t xml:space="preserve">Centrifuge at 10,000 </w:t>
            </w:r>
            <w:r>
              <w:rPr>
                <w:i/>
              </w:rPr>
              <w:t xml:space="preserve">g </w:t>
            </w:r>
            <w:r>
              <w:t>for 30 minutes at room temperature.</w:t>
            </w:r>
          </w:p>
          <w:p w:rsidR="003A0C2F" w:rsidRDefault="00F166FB">
            <w:pPr>
              <w:numPr>
                <w:ilvl w:val="0"/>
                <w:numId w:val="23"/>
              </w:numPr>
              <w:spacing w:after="95" w:line="247" w:lineRule="auto"/>
              <w:ind w:right="0" w:hanging="354"/>
              <w:jc w:val="left"/>
            </w:pPr>
            <w:r>
              <w:t xml:space="preserve">Carefully remove the supernatant without disturbing the DNA pellet (note that the pellet is not visible; always place the tube with the hinge facing outwards to ensure reliable positioning of the pellet at the bottom of </w:t>
            </w:r>
            <w:r>
              <w:t>the tube)</w:t>
            </w:r>
          </w:p>
          <w:p w:rsidR="003A0C2F" w:rsidRDefault="00F166FB">
            <w:pPr>
              <w:numPr>
                <w:ilvl w:val="0"/>
                <w:numId w:val="23"/>
              </w:numPr>
              <w:spacing w:after="74" w:line="279" w:lineRule="auto"/>
              <w:ind w:right="0" w:hanging="354"/>
              <w:jc w:val="left"/>
            </w:pPr>
            <w:r>
              <w:t xml:space="preserve">Add 200 </w:t>
            </w:r>
            <w:r>
              <w:rPr>
                <w:i/>
              </w:rPr>
              <w:t>µ</w:t>
            </w:r>
            <w:r>
              <w:t xml:space="preserve">L of 70% EtOH (make it fresh immediately before use). Do not tap or mix. Centrifuge at 10,000 </w:t>
            </w:r>
            <w:r>
              <w:rPr>
                <w:i/>
              </w:rPr>
              <w:t xml:space="preserve">g </w:t>
            </w:r>
            <w:r>
              <w:t>for 2 minutes at RT.</w:t>
            </w:r>
          </w:p>
          <w:p w:rsidR="003A0C2F" w:rsidRDefault="00F166FB">
            <w:pPr>
              <w:numPr>
                <w:ilvl w:val="0"/>
                <w:numId w:val="23"/>
              </w:numPr>
              <w:spacing w:after="88" w:line="254" w:lineRule="auto"/>
              <w:ind w:right="0" w:hanging="354"/>
              <w:jc w:val="left"/>
            </w:pPr>
            <w:r>
              <w:t>Carefully remove the supernatant without disturbing the DNA pellet.</w:t>
            </w:r>
          </w:p>
          <w:p w:rsidR="003A0C2F" w:rsidRDefault="00F166FB">
            <w:pPr>
              <w:numPr>
                <w:ilvl w:val="0"/>
                <w:numId w:val="23"/>
              </w:numPr>
              <w:spacing w:after="93" w:line="259" w:lineRule="auto"/>
              <w:ind w:right="0" w:hanging="354"/>
              <w:jc w:val="left"/>
            </w:pPr>
            <w:r>
              <w:t>Repeat the 70% EtOH wash and centrifugation step</w:t>
            </w:r>
          </w:p>
          <w:p w:rsidR="003A0C2F" w:rsidRDefault="00F166FB">
            <w:pPr>
              <w:numPr>
                <w:ilvl w:val="0"/>
                <w:numId w:val="23"/>
              </w:numPr>
              <w:spacing w:after="74" w:line="279" w:lineRule="auto"/>
              <w:ind w:right="0" w:hanging="354"/>
              <w:jc w:val="left"/>
            </w:pPr>
            <w:r>
              <w:t>Add</w:t>
            </w:r>
            <w:r>
              <w:t xml:space="preserve"> at least 50 </w:t>
            </w:r>
            <w:r>
              <w:rPr>
                <w:i/>
              </w:rPr>
              <w:t>µ</w:t>
            </w:r>
            <w:r>
              <w:t>L Buffer EB and incubate at room temperature for 20 minutes (</w:t>
            </w:r>
            <w:r>
              <w:rPr>
                <w:i/>
              </w:rPr>
              <w:t xml:space="preserve">see </w:t>
            </w:r>
            <w:r>
              <w:rPr>
                <w:b/>
              </w:rPr>
              <w:t xml:space="preserve">Note </w:t>
            </w:r>
            <w:r>
              <w:rPr>
                <w:b/>
                <w:color w:val="E4322B"/>
              </w:rPr>
              <w:t>10</w:t>
            </w:r>
            <w:r>
              <w:t>).</w:t>
            </w:r>
          </w:p>
          <w:p w:rsidR="003A0C2F" w:rsidRDefault="00F166FB">
            <w:pPr>
              <w:numPr>
                <w:ilvl w:val="0"/>
                <w:numId w:val="23"/>
              </w:numPr>
              <w:spacing w:after="93" w:line="259" w:lineRule="auto"/>
              <w:ind w:right="0" w:hanging="354"/>
              <w:jc w:val="left"/>
            </w:pPr>
            <w:r>
              <w:t>Resuspend well by tapping</w:t>
            </w:r>
          </w:p>
          <w:p w:rsidR="003A0C2F" w:rsidRDefault="00F166FB">
            <w:pPr>
              <w:numPr>
                <w:ilvl w:val="0"/>
                <w:numId w:val="23"/>
              </w:numPr>
              <w:spacing w:after="93" w:line="259" w:lineRule="auto"/>
              <w:ind w:right="0" w:hanging="354"/>
              <w:jc w:val="left"/>
            </w:pPr>
            <w:r>
              <w:t>Measure DNA concentration using a Qubit dsDNA HS assay.</w:t>
            </w:r>
          </w:p>
          <w:p w:rsidR="003A0C2F" w:rsidRDefault="00F166FB">
            <w:pPr>
              <w:numPr>
                <w:ilvl w:val="0"/>
                <w:numId w:val="23"/>
              </w:numPr>
              <w:spacing w:after="95" w:line="254" w:lineRule="auto"/>
              <w:ind w:right="0" w:hanging="354"/>
              <w:jc w:val="left"/>
            </w:pPr>
            <w:r>
              <w:t>Evaluate the DNA size distribution profile on the TapeStaion using the gDNA screentap</w:t>
            </w:r>
            <w:r>
              <w:t>e and reagents</w:t>
            </w:r>
          </w:p>
          <w:p w:rsidR="003A0C2F" w:rsidRDefault="00F166FB">
            <w:pPr>
              <w:numPr>
                <w:ilvl w:val="0"/>
                <w:numId w:val="23"/>
              </w:numPr>
              <w:spacing w:after="193" w:line="259" w:lineRule="auto"/>
              <w:ind w:right="0" w:hanging="354"/>
              <w:jc w:val="left"/>
            </w:pPr>
            <w:r>
              <w:t>Store the DNA at 4</w:t>
            </w:r>
            <w:r>
              <w:rPr>
                <w:vertAlign w:val="superscript"/>
              </w:rPr>
              <w:t>◦</w:t>
            </w:r>
            <w:r>
              <w:t>C (</w:t>
            </w:r>
            <w:r>
              <w:rPr>
                <w:i/>
              </w:rPr>
              <w:t xml:space="preserve">see </w:t>
            </w:r>
            <w:r>
              <w:rPr>
                <w:b/>
              </w:rPr>
              <w:t xml:space="preserve">Note </w:t>
            </w:r>
            <w:r>
              <w:rPr>
                <w:b/>
                <w:color w:val="E4322B"/>
              </w:rPr>
              <w:t>11</w:t>
            </w:r>
            <w:r>
              <w:t>)</w:t>
            </w:r>
          </w:p>
          <w:p w:rsidR="003A0C2F" w:rsidRDefault="00F166FB">
            <w:pPr>
              <w:spacing w:after="0" w:line="259" w:lineRule="auto"/>
              <w:ind w:left="0" w:right="0" w:firstLine="0"/>
            </w:pPr>
            <w:r>
              <w:t xml:space="preserve">Example TapeStation results for poor-quality, high-quality and post-size selection HMW DNA are shown in Figure </w:t>
            </w:r>
            <w:r>
              <w:rPr>
                <w:color w:val="E4322B"/>
              </w:rPr>
              <w:t>3</w:t>
            </w:r>
            <w:r>
              <w:t>.</w:t>
            </w:r>
          </w:p>
        </w:tc>
      </w:tr>
      <w:tr w:rsidR="003A0C2F">
        <w:trPr>
          <w:trHeight w:val="282"/>
        </w:trPr>
        <w:tc>
          <w:tcPr>
            <w:tcW w:w="1637"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b/>
              </w:rPr>
              <w:t xml:space="preserve">3.8 </w:t>
            </w:r>
            <w:r>
              <w:rPr>
                <w:rFonts w:ascii="Calibri" w:eastAsia="Calibri" w:hAnsi="Calibri" w:cs="Calibri"/>
                <w:b/>
                <w:i/>
              </w:rPr>
              <w:t>Nanopore</w:t>
            </w:r>
          </w:p>
        </w:tc>
        <w:tc>
          <w:tcPr>
            <w:tcW w:w="461"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b/>
                <w:i/>
              </w:rPr>
              <w:t>li-</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1033"/>
        </w:trPr>
        <w:tc>
          <w:tcPr>
            <w:tcW w:w="2098" w:type="dxa"/>
            <w:gridSpan w:val="2"/>
            <w:tcBorders>
              <w:top w:val="nil"/>
              <w:left w:val="nil"/>
              <w:bottom w:val="nil"/>
              <w:right w:val="nil"/>
            </w:tcBorders>
          </w:tcPr>
          <w:p w:rsidR="003A0C2F" w:rsidRDefault="00F166FB">
            <w:pPr>
              <w:spacing w:after="334" w:line="236" w:lineRule="auto"/>
              <w:ind w:left="0" w:right="140" w:firstLine="0"/>
            </w:pPr>
            <w:r>
              <w:rPr>
                <w:rFonts w:ascii="Calibri" w:eastAsia="Calibri" w:hAnsi="Calibri" w:cs="Calibri"/>
                <w:b/>
                <w:i/>
              </w:rPr>
              <w:t>brary construction &amp; sequencing</w:t>
            </w:r>
          </w:p>
          <w:p w:rsidR="003A0C2F" w:rsidRDefault="00F166FB">
            <w:pPr>
              <w:spacing w:after="0" w:line="259" w:lineRule="auto"/>
              <w:ind w:left="0" w:right="0" w:firstLine="0"/>
              <w:jc w:val="left"/>
            </w:pPr>
            <w:r>
              <w:rPr>
                <w:rFonts w:ascii="Calibri" w:eastAsia="Calibri" w:hAnsi="Calibri" w:cs="Calibri"/>
                <w:b/>
              </w:rPr>
              <w:t xml:space="preserve">3.9 </w:t>
            </w:r>
            <w:r>
              <w:rPr>
                <w:rFonts w:ascii="Calibri" w:eastAsia="Calibri" w:hAnsi="Calibri" w:cs="Calibri"/>
                <w:b/>
                <w:i/>
              </w:rPr>
              <w:t>Computational</w:t>
            </w:r>
          </w:p>
        </w:tc>
        <w:tc>
          <w:tcPr>
            <w:tcW w:w="6180" w:type="dxa"/>
            <w:tcBorders>
              <w:top w:val="nil"/>
              <w:left w:val="nil"/>
              <w:bottom w:val="nil"/>
              <w:right w:val="nil"/>
            </w:tcBorders>
          </w:tcPr>
          <w:p w:rsidR="003A0C2F" w:rsidRDefault="00F166FB">
            <w:pPr>
              <w:spacing w:after="0" w:line="259" w:lineRule="auto"/>
              <w:ind w:left="0" w:right="0" w:firstLine="0"/>
            </w:pPr>
            <w:r>
              <w:t>Carry out nanopore library construction and sequencing according to the manufacturer’s instructions depending on the particular kit and flowcell/sequencer being used.</w:t>
            </w:r>
          </w:p>
        </w:tc>
      </w:tr>
      <w:tr w:rsidR="003A0C2F">
        <w:trPr>
          <w:trHeight w:val="399"/>
        </w:trPr>
        <w:tc>
          <w:tcPr>
            <w:tcW w:w="2098" w:type="dxa"/>
            <w:gridSpan w:val="2"/>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b/>
                <w:i/>
              </w:rPr>
              <w:t>analysis</w:t>
            </w:r>
          </w:p>
        </w:tc>
        <w:tc>
          <w:tcPr>
            <w:tcW w:w="6180" w:type="dxa"/>
            <w:tcBorders>
              <w:top w:val="nil"/>
              <w:left w:val="nil"/>
              <w:bottom w:val="nil"/>
              <w:right w:val="nil"/>
            </w:tcBorders>
          </w:tcPr>
          <w:p w:rsidR="003A0C2F" w:rsidRDefault="00F166FB">
            <w:pPr>
              <w:spacing w:after="0" w:line="259" w:lineRule="auto"/>
              <w:ind w:left="0" w:right="0" w:firstLine="0"/>
            </w:pPr>
            <w:r>
              <w:t>The basic processing of SMAC-seq data described here consists of the following steps:</w:t>
            </w:r>
          </w:p>
        </w:tc>
      </w:tr>
    </w:tbl>
    <w:p w:rsidR="003A0C2F" w:rsidRDefault="00F166FB">
      <w:pPr>
        <w:numPr>
          <w:ilvl w:val="0"/>
          <w:numId w:val="8"/>
        </w:numPr>
        <w:ind w:right="725" w:hanging="255"/>
      </w:pPr>
      <w:r>
        <w:t>Initial base calling</w:t>
      </w:r>
    </w:p>
    <w:p w:rsidR="003A0C2F" w:rsidRDefault="00F166FB">
      <w:pPr>
        <w:numPr>
          <w:ilvl w:val="0"/>
          <w:numId w:val="8"/>
        </w:numPr>
        <w:ind w:right="725" w:hanging="255"/>
      </w:pPr>
      <w:r>
        <w:t>Read mapping</w:t>
      </w:r>
    </w:p>
    <w:p w:rsidR="003A0C2F" w:rsidRDefault="00F166FB">
      <w:pPr>
        <w:numPr>
          <w:ilvl w:val="0"/>
          <w:numId w:val="8"/>
        </w:numPr>
        <w:ind w:right="725" w:hanging="255"/>
      </w:pPr>
      <w:r>
        <w:lastRenderedPageBreak/>
        <w:t>Generating modification calls</w:t>
      </w:r>
    </w:p>
    <w:p w:rsidR="003A0C2F" w:rsidRDefault="00F166FB">
      <w:pPr>
        <w:spacing w:after="241" w:line="259" w:lineRule="auto"/>
        <w:ind w:left="170" w:right="0" w:firstLine="0"/>
        <w:jc w:val="left"/>
      </w:pPr>
      <w:r>
        <w:rPr>
          <w:noProof/>
        </w:rPr>
        <w:drawing>
          <wp:inline distT="0" distB="0" distL="0" distR="0">
            <wp:extent cx="5040059" cy="6128730"/>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40"/>
                    <a:stretch>
                      <a:fillRect/>
                    </a:stretch>
                  </pic:blipFill>
                  <pic:spPr>
                    <a:xfrm>
                      <a:off x="0" y="0"/>
                      <a:ext cx="5040059" cy="6128730"/>
                    </a:xfrm>
                    <a:prstGeom prst="rect">
                      <a:avLst/>
                    </a:prstGeom>
                  </pic:spPr>
                </pic:pic>
              </a:graphicData>
            </a:graphic>
          </wp:inline>
        </w:drawing>
      </w:r>
    </w:p>
    <w:p w:rsidR="003A0C2F" w:rsidRDefault="00F166FB">
      <w:pPr>
        <w:spacing w:after="73" w:line="263" w:lineRule="auto"/>
        <w:ind w:left="-15" w:firstLine="0"/>
      </w:pPr>
      <w:r>
        <w:rPr>
          <w:b/>
        </w:rPr>
        <w:t xml:space="preserve">Fig. 3: </w:t>
      </w:r>
      <w:r>
        <w:rPr>
          <w:b/>
          <w:sz w:val="18"/>
        </w:rPr>
        <w:t>HMW DNA isolation and size selection for long-read sequencing</w:t>
      </w:r>
      <w:r>
        <w:rPr>
          <w:sz w:val="18"/>
        </w:rPr>
        <w:t>. It is of critical importance for</w:t>
      </w:r>
      <w:r>
        <w:rPr>
          <w:sz w:val="18"/>
        </w:rPr>
        <w:t xml:space="preserve"> the success of SMAC-seq experiments (and many other long read-based assays) to use high quality HMW DNA as input to sequencing. Numerous protocols exist for isolating HMW DNA and HMW DNA size selection. Shown are TapeStation gDNA profiles for a DNA sample</w:t>
      </w:r>
      <w:r>
        <w:rPr>
          <w:sz w:val="18"/>
        </w:rPr>
        <w:t xml:space="preserve"> with poor size distribution (A), a DNA sample with good size distribution (B), and a DNA sample after size selection using the Circulomics Short Read Eliminator Kit (C).</w:t>
      </w:r>
    </w:p>
    <w:p w:rsidR="003A0C2F" w:rsidRDefault="00F166FB">
      <w:pPr>
        <w:spacing w:after="241" w:line="259" w:lineRule="auto"/>
        <w:ind w:left="170" w:right="0" w:firstLine="0"/>
        <w:jc w:val="left"/>
      </w:pPr>
      <w:r>
        <w:rPr>
          <w:noProof/>
        </w:rPr>
        <w:lastRenderedPageBreak/>
        <w:drawing>
          <wp:inline distT="0" distB="0" distL="0" distR="0">
            <wp:extent cx="5040098" cy="2440575"/>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41"/>
                    <a:stretch>
                      <a:fillRect/>
                    </a:stretch>
                  </pic:blipFill>
                  <pic:spPr>
                    <a:xfrm>
                      <a:off x="0" y="0"/>
                      <a:ext cx="5040098" cy="2440575"/>
                    </a:xfrm>
                    <a:prstGeom prst="rect">
                      <a:avLst/>
                    </a:prstGeom>
                  </pic:spPr>
                </pic:pic>
              </a:graphicData>
            </a:graphic>
          </wp:inline>
        </w:drawing>
      </w:r>
    </w:p>
    <w:p w:rsidR="003A0C2F" w:rsidRDefault="00F166FB">
      <w:pPr>
        <w:spacing w:after="656" w:line="263" w:lineRule="auto"/>
        <w:ind w:left="-15" w:firstLine="0"/>
      </w:pPr>
      <w:r>
        <w:rPr>
          <w:b/>
        </w:rPr>
        <w:t xml:space="preserve">Fig. 4: </w:t>
      </w:r>
      <w:r>
        <w:rPr>
          <w:b/>
          <w:sz w:val="18"/>
        </w:rPr>
        <w:t>Summary of the SMAC-seq analysis workflow</w:t>
      </w:r>
      <w:r>
        <w:rPr>
          <w:sz w:val="18"/>
        </w:rPr>
        <w:t>. For Tombo processing, raw nanopo</w:t>
      </w:r>
      <w:r>
        <w:rPr>
          <w:sz w:val="18"/>
        </w:rPr>
        <w:t xml:space="preserve">re read traces are first subjected to base calling, mapped to the reference genome, and modified bases are then identified after “resquiggling” of the reads. The newer Megalodon-based processing combines these steps in one. Per-read modification calls are </w:t>
      </w:r>
      <w:r>
        <w:rPr>
          <w:sz w:val="18"/>
        </w:rPr>
        <w:t>then extracted, and converted into a common file format that allows for downstream tasks to be carried out.</w:t>
      </w:r>
    </w:p>
    <w:p w:rsidR="003A0C2F" w:rsidRDefault="00F166FB">
      <w:pPr>
        <w:numPr>
          <w:ilvl w:val="0"/>
          <w:numId w:val="8"/>
        </w:numPr>
        <w:spacing w:after="94" w:line="260" w:lineRule="auto"/>
        <w:ind w:right="725" w:hanging="255"/>
      </w:pPr>
      <w:r>
        <w:t>Compilation of basic data statistics</w:t>
      </w:r>
    </w:p>
    <w:p w:rsidR="003A0C2F" w:rsidRDefault="00F166FB">
      <w:pPr>
        <w:numPr>
          <w:ilvl w:val="0"/>
          <w:numId w:val="8"/>
        </w:numPr>
        <w:spacing w:after="94" w:line="260" w:lineRule="auto"/>
        <w:ind w:right="725" w:hanging="255"/>
      </w:pPr>
      <w:r>
        <w:t>Generation of aggregate modification scores</w:t>
      </w:r>
    </w:p>
    <w:p w:rsidR="003A0C2F" w:rsidRDefault="00F166FB">
      <w:pPr>
        <w:numPr>
          <w:ilvl w:val="0"/>
          <w:numId w:val="8"/>
        </w:numPr>
        <w:spacing w:after="193" w:line="260" w:lineRule="auto"/>
        <w:ind w:right="725" w:hanging="255"/>
      </w:pPr>
      <w:r>
        <w:t>Generation of averaged coverage tracks</w:t>
      </w:r>
    </w:p>
    <w:p w:rsidR="003A0C2F" w:rsidRDefault="00F166FB">
      <w:pPr>
        <w:spacing w:after="86" w:line="265" w:lineRule="auto"/>
        <w:ind w:right="880"/>
        <w:jc w:val="right"/>
      </w:pPr>
      <w:r>
        <w:t>Analysis at the single molecule level can be subsequently carried out.</w:t>
      </w:r>
    </w:p>
    <w:p w:rsidR="003A0C2F" w:rsidRDefault="00F166FB">
      <w:pPr>
        <w:spacing w:after="0" w:line="260" w:lineRule="auto"/>
        <w:ind w:right="614"/>
        <w:jc w:val="center"/>
      </w:pPr>
      <w:r>
        <w:t xml:space="preserve">The overall workflow is summarized in Figure </w:t>
      </w:r>
      <w:r>
        <w:rPr>
          <w:color w:val="E4322B"/>
        </w:rPr>
        <w:t>4</w:t>
      </w:r>
      <w:r>
        <w:t>.</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700"/>
        <w:gridCol w:w="1398"/>
        <w:gridCol w:w="6179"/>
      </w:tblGrid>
      <w:tr w:rsidR="003A0C2F">
        <w:trPr>
          <w:trHeight w:val="164"/>
        </w:trPr>
        <w:tc>
          <w:tcPr>
            <w:tcW w:w="700" w:type="dxa"/>
            <w:tcBorders>
              <w:top w:val="nil"/>
              <w:left w:val="nil"/>
              <w:bottom w:val="nil"/>
              <w:right w:val="nil"/>
            </w:tcBorders>
          </w:tcPr>
          <w:p w:rsidR="003A0C2F" w:rsidRDefault="00F166FB">
            <w:pPr>
              <w:spacing w:after="0" w:line="259" w:lineRule="auto"/>
              <w:ind w:left="0" w:right="0" w:firstLine="0"/>
              <w:jc w:val="left"/>
            </w:pPr>
            <w:r>
              <w:rPr>
                <w:b/>
              </w:rPr>
              <w:t>3.9.1</w:t>
            </w:r>
          </w:p>
        </w:tc>
        <w:tc>
          <w:tcPr>
            <w:tcW w:w="139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Read</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1200"/>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8" w:type="dxa"/>
            <w:tcBorders>
              <w:top w:val="nil"/>
              <w:left w:val="nil"/>
              <w:bottom w:val="nil"/>
              <w:right w:val="nil"/>
            </w:tcBorders>
          </w:tcPr>
          <w:p w:rsidR="003A0C2F" w:rsidRDefault="00F166FB">
            <w:pPr>
              <w:spacing w:after="0" w:line="259" w:lineRule="auto"/>
              <w:ind w:left="0" w:right="173" w:firstLine="0"/>
              <w:jc w:val="left"/>
            </w:pPr>
            <w:r>
              <w:rPr>
                <w:rFonts w:ascii="Calibri" w:eastAsia="Calibri" w:hAnsi="Calibri" w:cs="Calibri"/>
                <w:i/>
              </w:rPr>
              <w:t>mapping and modification calling</w:t>
            </w:r>
          </w:p>
        </w:tc>
        <w:tc>
          <w:tcPr>
            <w:tcW w:w="6180" w:type="dxa"/>
            <w:tcBorders>
              <w:top w:val="nil"/>
              <w:left w:val="nil"/>
              <w:bottom w:val="nil"/>
              <w:right w:val="nil"/>
            </w:tcBorders>
          </w:tcPr>
          <w:p w:rsidR="003A0C2F" w:rsidRDefault="00F166FB">
            <w:pPr>
              <w:spacing w:after="65" w:line="259" w:lineRule="auto"/>
              <w:ind w:left="0" w:right="0" w:firstLine="0"/>
              <w:jc w:val="left"/>
            </w:pPr>
            <w:r>
              <w:t>There are two different ways to extract modifications.</w:t>
            </w:r>
          </w:p>
          <w:p w:rsidR="003A0C2F" w:rsidRDefault="00F166FB">
            <w:pPr>
              <w:spacing w:after="0" w:line="259" w:lineRule="auto"/>
              <w:ind w:left="0" w:right="0" w:firstLine="0"/>
            </w:pPr>
            <w:r>
              <w:t>Historically, SMAC-seq per-read modification calls were extracted using Tombo, which is a non-model based DNA modification caller for any context. It is no longer updated and requires basecalling using the older and less accurate base calling software Alba</w:t>
            </w:r>
            <w:r>
              <w:t>core.</w:t>
            </w:r>
          </w:p>
        </w:tc>
      </w:tr>
    </w:tbl>
    <w:p w:rsidR="003A0C2F" w:rsidRDefault="00F166FB">
      <w:pPr>
        <w:spacing w:after="70"/>
        <w:ind w:left="2108" w:right="725"/>
      </w:pPr>
      <w:r>
        <w:t>The state-of-art way to call modifications is Megalodon. Megalodon is a command-line tool that combines base calling using Guppy with modified base calling based on pre-trained modification calling models in the Rerio package, in which all-context m</w:t>
      </w:r>
      <w:r>
        <w:rPr>
          <w:vertAlign w:val="superscript"/>
        </w:rPr>
        <w:t>6</w:t>
      </w:r>
      <w:r>
        <w:t>A and 5mC models are available. Because of the higher accuracy of these models and the ease of use of Megalodon, this is at present the preferred method for calling modifications.</w:t>
      </w:r>
    </w:p>
    <w:p w:rsidR="003A0C2F" w:rsidRDefault="00F166FB">
      <w:pPr>
        <w:ind w:left="2108" w:right="725"/>
      </w:pPr>
      <w:r>
        <w:t>Calling modifications with Tombo involves the following steps (run these commands for each individual fast5 file in parallel to speed up the process):</w:t>
      </w:r>
    </w:p>
    <w:p w:rsidR="003A0C2F" w:rsidRDefault="00F166FB">
      <w:pPr>
        <w:numPr>
          <w:ilvl w:val="0"/>
          <w:numId w:val="9"/>
        </w:numPr>
        <w:spacing w:after="150"/>
        <w:ind w:right="725" w:hanging="255"/>
      </w:pPr>
      <w:r>
        <w:lastRenderedPageBreak/>
        <w:t>Basecalling using Albacore. Tombo requires that reads are first base-called using Albacore. Running Albac</w:t>
      </w:r>
      <w:r>
        <w:t>ore requires the user to specify the exact type of flowcell and the kit used to build the library, as follows:</w:t>
      </w:r>
    </w:p>
    <w:p w:rsidR="003A0C2F" w:rsidRDefault="00F166FB">
      <w:pPr>
        <w:spacing w:after="5" w:line="248" w:lineRule="auto"/>
        <w:ind w:left="2964" w:right="538"/>
        <w:jc w:val="left"/>
      </w:pPr>
      <w:r>
        <w:rPr>
          <w:rFonts w:ascii="Calibri" w:eastAsia="Calibri" w:hAnsi="Calibri" w:cs="Calibri"/>
        </w:rPr>
        <w:t>read_fast5_basecaller.py --flowcell {FLOW_CELL}</w:t>
      </w:r>
    </w:p>
    <w:p w:rsidR="003A0C2F" w:rsidRDefault="00F166FB">
      <w:pPr>
        <w:spacing w:after="12" w:line="248" w:lineRule="auto"/>
        <w:ind w:left="1062" w:right="917"/>
        <w:jc w:val="center"/>
      </w:pPr>
      <w:r>
        <w:rPr>
          <w:rFonts w:ascii="Calibri" w:eastAsia="Calibri" w:hAnsi="Calibri" w:cs="Calibri"/>
        </w:rPr>
        <w:t>--kit {RUN_KIT} -i {FAST5_DIR}</w:t>
      </w:r>
    </w:p>
    <w:p w:rsidR="003A0C2F" w:rsidRDefault="00F166FB">
      <w:pPr>
        <w:spacing w:after="5" w:line="248" w:lineRule="auto"/>
        <w:ind w:left="2964" w:right="538"/>
        <w:jc w:val="left"/>
      </w:pPr>
      <w:r>
        <w:rPr>
          <w:rFonts w:ascii="Calibri" w:eastAsia="Calibri" w:hAnsi="Calibri" w:cs="Calibri"/>
        </w:rPr>
        <w:t>-t {NUMBER_OF_THREADS} -s {OUTPUT_DIR}</w:t>
      </w:r>
    </w:p>
    <w:p w:rsidR="003A0C2F" w:rsidRDefault="00F166FB">
      <w:pPr>
        <w:spacing w:after="170" w:line="248" w:lineRule="auto"/>
        <w:ind w:left="1062" w:right="603"/>
        <w:jc w:val="center"/>
      </w:pPr>
      <w:r>
        <w:rPr>
          <w:rFonts w:ascii="Calibri" w:eastAsia="Calibri" w:hAnsi="Calibri" w:cs="Calibri"/>
        </w:rPr>
        <w:t>-o fastq,fast5 --disable_fi</w:t>
      </w:r>
      <w:r>
        <w:rPr>
          <w:rFonts w:ascii="Calibri" w:eastAsia="Calibri" w:hAnsi="Calibri" w:cs="Calibri"/>
        </w:rPr>
        <w:t>ltering</w:t>
      </w:r>
    </w:p>
    <w:p w:rsidR="003A0C2F" w:rsidRDefault="00F166FB">
      <w:pPr>
        <w:numPr>
          <w:ilvl w:val="0"/>
          <w:numId w:val="9"/>
        </w:numPr>
        <w:spacing w:after="149"/>
        <w:ind w:right="725" w:hanging="255"/>
      </w:pPr>
      <w:r>
        <w:t>Read preprocessing. Following base calling at the read level using Albacore, Tombo maps every read to its corresponding fast5 signal track, as follows:</w:t>
      </w:r>
    </w:p>
    <w:p w:rsidR="003A0C2F" w:rsidRDefault="00F166FB">
      <w:pPr>
        <w:spacing w:after="5" w:line="248" w:lineRule="auto"/>
        <w:ind w:left="2964" w:right="538"/>
        <w:jc w:val="left"/>
      </w:pPr>
      <w:r>
        <w:rPr>
          <w:rFonts w:ascii="Calibri" w:eastAsia="Calibri" w:hAnsi="Calibri" w:cs="Calibri"/>
        </w:rPr>
        <w:t>tombo preprocess annotate_raw_with_fastqs</w:t>
      </w:r>
    </w:p>
    <w:p w:rsidR="003A0C2F" w:rsidRDefault="00F166FB">
      <w:pPr>
        <w:spacing w:after="5" w:line="248" w:lineRule="auto"/>
        <w:ind w:left="2964" w:right="538"/>
        <w:jc w:val="left"/>
      </w:pPr>
      <w:r>
        <w:rPr>
          <w:rFonts w:ascii="Calibri" w:eastAsia="Calibri" w:hAnsi="Calibri" w:cs="Calibri"/>
        </w:rPr>
        <w:t>--processes {NUMBER_OF_THREADS} --overwrite --fast5-ba</w:t>
      </w:r>
      <w:r>
        <w:rPr>
          <w:rFonts w:ascii="Calibri" w:eastAsia="Calibri" w:hAnsi="Calibri" w:cs="Calibri"/>
        </w:rPr>
        <w:t>sedir {FAST5_DIR}</w:t>
      </w:r>
    </w:p>
    <w:p w:rsidR="003A0C2F" w:rsidRDefault="00F166FB">
      <w:pPr>
        <w:spacing w:after="170" w:line="248" w:lineRule="auto"/>
        <w:ind w:left="2964" w:right="538"/>
        <w:jc w:val="left"/>
      </w:pPr>
      <w:r>
        <w:rPr>
          <w:rFonts w:ascii="Calibri" w:eastAsia="Calibri" w:hAnsi="Calibri" w:cs="Calibri"/>
        </w:rPr>
        <w:t>--fastq-filenames {ALBACORE_PRODUCED_FAST5}</w:t>
      </w:r>
    </w:p>
    <w:p w:rsidR="003A0C2F" w:rsidRDefault="00F166FB">
      <w:pPr>
        <w:numPr>
          <w:ilvl w:val="0"/>
          <w:numId w:val="9"/>
        </w:numPr>
        <w:spacing w:after="148"/>
        <w:ind w:right="725" w:hanging="255"/>
      </w:pPr>
      <w:r>
        <w:t xml:space="preserve">Tombo resquiggling. Next, the reads are mapped and nanopore signal is “resquiggled” against the reference genome as follows (note that Tombo uses </w:t>
      </w:r>
      <w:r>
        <w:rPr>
          <w:rFonts w:ascii="Calibri" w:eastAsia="Calibri" w:hAnsi="Calibri" w:cs="Calibri"/>
        </w:rPr>
        <w:t xml:space="preserve">minimap2 </w:t>
      </w:r>
      <w:r>
        <w:t>to carry out the mapping):</w:t>
      </w:r>
    </w:p>
    <w:p w:rsidR="003A0C2F" w:rsidRDefault="00F166FB">
      <w:pPr>
        <w:spacing w:after="5" w:line="248" w:lineRule="auto"/>
        <w:ind w:left="2964" w:right="538"/>
        <w:jc w:val="left"/>
      </w:pPr>
      <w:r>
        <w:rPr>
          <w:rFonts w:ascii="Calibri" w:eastAsia="Calibri" w:hAnsi="Calibri" w:cs="Calibri"/>
        </w:rPr>
        <w:t>tombo resqui</w:t>
      </w:r>
      <w:r>
        <w:rPr>
          <w:rFonts w:ascii="Calibri" w:eastAsia="Calibri" w:hAnsi="Calibri" w:cs="Calibri"/>
        </w:rPr>
        <w:t>ggle --ignore-read-locks</w:t>
      </w:r>
    </w:p>
    <w:p w:rsidR="003A0C2F" w:rsidRDefault="00F166FB">
      <w:pPr>
        <w:spacing w:after="5" w:line="248" w:lineRule="auto"/>
        <w:ind w:left="2964" w:right="538"/>
        <w:jc w:val="left"/>
      </w:pPr>
      <w:r>
        <w:rPr>
          <w:rFonts w:ascii="Calibri" w:eastAsia="Calibri" w:hAnsi="Calibri" w:cs="Calibri"/>
        </w:rPr>
        <w:t>--processes {NUMBER_OF_THREADS} --overwrite</w:t>
      </w:r>
    </w:p>
    <w:p w:rsidR="003A0C2F" w:rsidRDefault="00F166FB">
      <w:pPr>
        <w:spacing w:after="168" w:line="248" w:lineRule="auto"/>
        <w:ind w:left="1062" w:right="1021"/>
        <w:jc w:val="center"/>
      </w:pPr>
      <w:r>
        <w:rPr>
          <w:rFonts w:ascii="Calibri" w:eastAsia="Calibri" w:hAnsi="Calibri" w:cs="Calibri"/>
        </w:rPr>
        <w:t>{FAST5_DIR} {REFERENCE_GENOME}</w:t>
      </w:r>
    </w:p>
    <w:p w:rsidR="003A0C2F" w:rsidRDefault="00F166FB">
      <w:pPr>
        <w:numPr>
          <w:ilvl w:val="0"/>
          <w:numId w:val="9"/>
        </w:numPr>
        <w:spacing w:after="146"/>
        <w:ind w:right="725" w:hanging="255"/>
      </w:pPr>
      <w:r>
        <w:t xml:space="preserve">Tombo </w:t>
      </w:r>
      <w:r>
        <w:rPr>
          <w:i/>
        </w:rPr>
        <w:t xml:space="preserve">de novo </w:t>
      </w:r>
      <w:r>
        <w:t>modification calling. To call m</w:t>
      </w:r>
      <w:r>
        <w:rPr>
          <w:vertAlign w:val="superscript"/>
        </w:rPr>
        <w:t>6</w:t>
      </w:r>
      <w:r>
        <w:t xml:space="preserve">A and 5mC modifications in all contexts we use the </w:t>
      </w:r>
      <w:r>
        <w:rPr>
          <w:i/>
        </w:rPr>
        <w:t xml:space="preserve">de novo </w:t>
      </w:r>
      <w:r>
        <w:t>mode of Tombo as follows:</w:t>
      </w:r>
    </w:p>
    <w:p w:rsidR="003A0C2F" w:rsidRDefault="00F166FB">
      <w:pPr>
        <w:spacing w:after="12" w:line="248" w:lineRule="auto"/>
        <w:ind w:left="1062" w:right="603"/>
        <w:jc w:val="center"/>
      </w:pPr>
      <w:r>
        <w:rPr>
          <w:rFonts w:ascii="Calibri" w:eastAsia="Calibri" w:hAnsi="Calibri" w:cs="Calibri"/>
        </w:rPr>
        <w:t>tombo detect_modifications de_novo</w:t>
      </w:r>
    </w:p>
    <w:p w:rsidR="003A0C2F" w:rsidRDefault="00F166FB">
      <w:pPr>
        <w:spacing w:after="5" w:line="248" w:lineRule="auto"/>
        <w:ind w:left="2964" w:right="538"/>
        <w:jc w:val="left"/>
      </w:pPr>
      <w:r>
        <w:rPr>
          <w:rFonts w:ascii="Calibri" w:eastAsia="Calibri" w:hAnsi="Calibri" w:cs="Calibri"/>
        </w:rPr>
        <w:t>--statistics-file-basename {STATS_FILE_NAME}</w:t>
      </w:r>
    </w:p>
    <w:p w:rsidR="003A0C2F" w:rsidRDefault="00F166FB">
      <w:pPr>
        <w:spacing w:after="5" w:line="248" w:lineRule="auto"/>
        <w:ind w:left="2964" w:right="538"/>
        <w:jc w:val="left"/>
      </w:pPr>
      <w:r>
        <w:rPr>
          <w:rFonts w:ascii="Calibri" w:eastAsia="Calibri" w:hAnsi="Calibri" w:cs="Calibri"/>
        </w:rPr>
        <w:t>--per-read-statistics-basename {MODS_FILE_NAME}</w:t>
      </w:r>
    </w:p>
    <w:p w:rsidR="003A0C2F" w:rsidRDefault="00F166FB">
      <w:pPr>
        <w:spacing w:after="12" w:line="248" w:lineRule="auto"/>
        <w:ind w:left="1062" w:right="917"/>
        <w:jc w:val="center"/>
      </w:pPr>
      <w:r>
        <w:rPr>
          <w:rFonts w:ascii="Calibri" w:eastAsia="Calibri" w:hAnsi="Calibri" w:cs="Calibri"/>
        </w:rPr>
        <w:t>--processes {NUMBER_OF_THREADS}</w:t>
      </w:r>
    </w:p>
    <w:p w:rsidR="003A0C2F" w:rsidRDefault="00F166FB">
      <w:pPr>
        <w:spacing w:after="12" w:line="248" w:lineRule="auto"/>
        <w:ind w:left="1062" w:right="603"/>
        <w:jc w:val="center"/>
      </w:pPr>
      <w:r>
        <w:rPr>
          <w:rFonts w:ascii="Calibri" w:eastAsia="Calibri" w:hAnsi="Calibri" w:cs="Calibri"/>
        </w:rPr>
        <w:t>--multiprocess-region-size 2000000</w:t>
      </w:r>
    </w:p>
    <w:p w:rsidR="003A0C2F" w:rsidRDefault="00F166FB">
      <w:pPr>
        <w:spacing w:after="90" w:line="248" w:lineRule="auto"/>
        <w:ind w:left="1062" w:right="1231"/>
        <w:jc w:val="center"/>
      </w:pPr>
      <w:r>
        <w:rPr>
          <w:rFonts w:ascii="Calibri" w:eastAsia="Calibri" w:hAnsi="Calibri" w:cs="Calibri"/>
        </w:rPr>
        <w:t>--fast5-basedirs {FAST5_DIR}</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700"/>
        <w:gridCol w:w="1397"/>
        <w:gridCol w:w="6180"/>
      </w:tblGrid>
      <w:tr w:rsidR="003A0C2F">
        <w:trPr>
          <w:trHeight w:val="164"/>
        </w:trPr>
        <w:tc>
          <w:tcPr>
            <w:tcW w:w="700" w:type="dxa"/>
            <w:tcBorders>
              <w:top w:val="nil"/>
              <w:left w:val="nil"/>
              <w:bottom w:val="nil"/>
              <w:right w:val="nil"/>
            </w:tcBorders>
          </w:tcPr>
          <w:p w:rsidR="003A0C2F" w:rsidRDefault="00F166FB">
            <w:pPr>
              <w:spacing w:after="0" w:line="259" w:lineRule="auto"/>
              <w:ind w:left="0" w:right="0" w:firstLine="0"/>
              <w:jc w:val="left"/>
            </w:pPr>
            <w:r>
              <w:rPr>
                <w:b/>
              </w:rPr>
              <w:t>3.9.2</w:t>
            </w:r>
          </w:p>
        </w:tc>
        <w:tc>
          <w:tcPr>
            <w:tcW w:w="139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Tombo</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642"/>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extraction</w:t>
            </w:r>
          </w:p>
        </w:tc>
        <w:tc>
          <w:tcPr>
            <w:tcW w:w="6180" w:type="dxa"/>
            <w:tcBorders>
              <w:top w:val="nil"/>
              <w:left w:val="nil"/>
              <w:bottom w:val="nil"/>
              <w:right w:val="nil"/>
            </w:tcBorders>
          </w:tcPr>
          <w:p w:rsidR="003A0C2F" w:rsidRDefault="00F166FB">
            <w:pPr>
              <w:spacing w:after="0" w:line="259" w:lineRule="auto"/>
              <w:ind w:left="0" w:right="0" w:firstLine="0"/>
              <w:jc w:val="left"/>
            </w:pPr>
            <w:r>
              <w:t>Default Tombo outputs do not include information about modification at the basepair single-molecule level. These need to be extracted using the Tombo Python API using custom-written scripts.</w:t>
            </w:r>
          </w:p>
        </w:tc>
      </w:tr>
    </w:tbl>
    <w:p w:rsidR="003A0C2F" w:rsidRDefault="00F166FB">
      <w:pPr>
        <w:spacing w:after="69"/>
        <w:ind w:left="2108" w:right="725"/>
      </w:pPr>
      <w:r>
        <w:t xml:space="preserve">Run the </w:t>
      </w:r>
      <w:r>
        <w:rPr>
          <w:rFonts w:ascii="Calibri" w:eastAsia="Calibri" w:hAnsi="Calibri" w:cs="Calibri"/>
        </w:rPr>
        <w:t xml:space="preserve">TomboSingleReadsExtract-tombo_de_novo-1.5.py </w:t>
      </w:r>
      <w:r>
        <w:t>script in o</w:t>
      </w:r>
      <w:r>
        <w:t xml:space="preserve">rder to convert Tombo </w:t>
      </w:r>
      <w:r>
        <w:rPr>
          <w:rFonts w:ascii="Calibri" w:eastAsia="Calibri" w:hAnsi="Calibri" w:cs="Calibri"/>
        </w:rPr>
        <w:t xml:space="preserve">per_read_stats </w:t>
      </w:r>
      <w:r>
        <w:t>files into text files. The script has multiple options for different sequence contexts, excluding certain sequence contexts, etc.:</w:t>
      </w:r>
    </w:p>
    <w:p w:rsidR="003A0C2F" w:rsidRDefault="00F166FB">
      <w:pPr>
        <w:spacing w:after="12" w:line="248" w:lineRule="auto"/>
        <w:ind w:left="1062" w:right="538"/>
        <w:jc w:val="center"/>
      </w:pPr>
      <w:r>
        <w:rPr>
          <w:rFonts w:ascii="Calibri" w:eastAsia="Calibri" w:hAnsi="Calibri" w:cs="Calibri"/>
        </w:rPr>
        <w:t>python TomboSingleReadsExtract-tombo_de_novo-1.5.py tombo.per_read_stats genome.fa outfile_prefix</w:t>
      </w:r>
    </w:p>
    <w:p w:rsidR="003A0C2F" w:rsidRDefault="00F166FB">
      <w:pPr>
        <w:spacing w:after="5" w:line="248" w:lineRule="auto"/>
        <w:ind w:left="2421" w:right="538"/>
        <w:jc w:val="left"/>
      </w:pPr>
      <w:r>
        <w:rPr>
          <w:rFonts w:ascii="Calibri" w:eastAsia="Calibri" w:hAnsi="Calibri" w:cs="Calibri"/>
        </w:rPr>
        <w:t>[-m5C-only] [-m6A-only] [-CG-only] [-CG-CG-only]</w:t>
      </w:r>
    </w:p>
    <w:p w:rsidR="003A0C2F" w:rsidRDefault="00F166FB">
      <w:pPr>
        <w:spacing w:after="12" w:line="248" w:lineRule="auto"/>
        <w:ind w:left="1062" w:right="1061"/>
        <w:jc w:val="center"/>
      </w:pPr>
      <w:r>
        <w:rPr>
          <w:rFonts w:ascii="Calibri" w:eastAsia="Calibri" w:hAnsi="Calibri" w:cs="Calibri"/>
        </w:rPr>
        <w:t>[-GC-only] [-m6A-CG-only] [-m6A-GC-only]</w:t>
      </w:r>
    </w:p>
    <w:p w:rsidR="003A0C2F" w:rsidRDefault="00F166FB">
      <w:pPr>
        <w:spacing w:after="12" w:line="248" w:lineRule="auto"/>
        <w:ind w:left="1062" w:right="1689"/>
        <w:jc w:val="center"/>
      </w:pPr>
      <w:r>
        <w:rPr>
          <w:rFonts w:ascii="Calibri" w:eastAsia="Calibri" w:hAnsi="Calibri" w:cs="Calibri"/>
        </w:rPr>
        <w:lastRenderedPageBreak/>
        <w:t>[-m6A-GC-CG-only] [-doT] [-T-only]</w:t>
      </w:r>
    </w:p>
    <w:p w:rsidR="003A0C2F" w:rsidRDefault="00F166FB">
      <w:pPr>
        <w:spacing w:after="12" w:line="248" w:lineRule="auto"/>
        <w:ind w:left="1062" w:right="1794"/>
        <w:jc w:val="center"/>
      </w:pPr>
      <w:r>
        <w:rPr>
          <w:rFonts w:ascii="Calibri" w:eastAsia="Calibri" w:hAnsi="Calibri" w:cs="Calibri"/>
        </w:rPr>
        <w:t>[-generic bases(comma-separated)]</w:t>
      </w:r>
    </w:p>
    <w:p w:rsidR="003A0C2F" w:rsidRDefault="00F166FB">
      <w:pPr>
        <w:spacing w:after="5" w:line="248" w:lineRule="auto"/>
        <w:ind w:left="2421" w:right="538"/>
        <w:jc w:val="left"/>
      </w:pPr>
      <w:r>
        <w:rPr>
          <w:rFonts w:ascii="Calibri" w:eastAsia="Calibri" w:hAnsi="Calibri" w:cs="Calibri"/>
        </w:rPr>
        <w:t>[-excludeContext string(...,stringN) radius]</w:t>
      </w:r>
    </w:p>
    <w:p w:rsidR="003A0C2F" w:rsidRDefault="00F166FB">
      <w:pPr>
        <w:spacing w:after="5" w:line="248" w:lineRule="auto"/>
        <w:ind w:left="2421" w:right="538"/>
        <w:jc w:val="left"/>
      </w:pPr>
      <w:r>
        <w:rPr>
          <w:rFonts w:ascii="Calibri" w:eastAsia="Calibri" w:hAnsi="Calibri" w:cs="Calibri"/>
        </w:rPr>
        <w:t>[-excludeChr chr1[...,chrN]]</w:t>
      </w:r>
    </w:p>
    <w:p w:rsidR="003A0C2F" w:rsidRDefault="00F166FB">
      <w:pPr>
        <w:spacing w:after="0" w:line="536" w:lineRule="auto"/>
        <w:ind w:left="2098" w:right="3857" w:firstLine="314"/>
      </w:pPr>
      <w:r>
        <w:rPr>
          <w:rFonts w:ascii="Calibri" w:eastAsia="Calibri" w:hAnsi="Calibri" w:cs="Calibri"/>
        </w:rPr>
        <w:t xml:space="preserve">[-chrPrefix string] </w:t>
      </w:r>
      <w:r>
        <w:t xml:space="preserve">Example for </w:t>
      </w:r>
      <w:r>
        <w:rPr>
          <w:rFonts w:ascii="Calibri" w:eastAsia="Calibri" w:hAnsi="Calibri" w:cs="Calibri"/>
        </w:rPr>
        <w:t xml:space="preserve">A </w:t>
      </w:r>
      <w:r>
        <w:t>positions:</w:t>
      </w:r>
    </w:p>
    <w:p w:rsidR="003A0C2F" w:rsidRDefault="00F166FB">
      <w:pPr>
        <w:spacing w:after="5" w:line="248" w:lineRule="auto"/>
        <w:ind w:left="2108" w:right="538"/>
        <w:jc w:val="left"/>
      </w:pPr>
      <w:r>
        <w:rPr>
          <w:rFonts w:ascii="Calibri" w:eastAsia="Calibri" w:hAnsi="Calibri" w:cs="Calibri"/>
        </w:rPr>
        <w:t>python TomboSingleReadsExtract-tombo_de_novo.py</w:t>
      </w:r>
    </w:p>
    <w:p w:rsidR="003A0C2F" w:rsidRDefault="00F166FB">
      <w:pPr>
        <w:spacing w:after="294" w:line="248" w:lineRule="auto"/>
        <w:ind w:left="2421" w:right="538"/>
        <w:jc w:val="left"/>
      </w:pPr>
      <w:r>
        <w:rPr>
          <w:rFonts w:ascii="Calibri" w:eastAsia="Calibri" w:hAnsi="Calibri" w:cs="Calibri"/>
        </w:rPr>
        <w:t>0.tombo.per_read_stats genome.fa 0.tombo.m6A-only -m6A-only</w:t>
      </w:r>
    </w:p>
    <w:p w:rsidR="003A0C2F" w:rsidRDefault="00F166FB">
      <w:pPr>
        <w:spacing w:after="268"/>
        <w:ind w:left="2108" w:right="725"/>
      </w:pPr>
      <w:r>
        <w:t xml:space="preserve">Example for </w:t>
      </w:r>
      <w:r>
        <w:rPr>
          <w:rFonts w:ascii="Calibri" w:eastAsia="Calibri" w:hAnsi="Calibri" w:cs="Calibri"/>
        </w:rPr>
        <w:t>A</w:t>
      </w:r>
      <w:r>
        <w:t>, CpG and GpC p</w:t>
      </w:r>
      <w:r>
        <w:t>ositions:</w:t>
      </w:r>
    </w:p>
    <w:p w:rsidR="003A0C2F" w:rsidRDefault="00F166FB">
      <w:pPr>
        <w:spacing w:after="5" w:line="248" w:lineRule="auto"/>
        <w:ind w:left="2108" w:right="538"/>
        <w:jc w:val="left"/>
      </w:pPr>
      <w:r>
        <w:rPr>
          <w:rFonts w:ascii="Calibri" w:eastAsia="Calibri" w:hAnsi="Calibri" w:cs="Calibri"/>
        </w:rPr>
        <w:t>python TomboSingleReadsExtract-tombo_de_novo.py</w:t>
      </w:r>
    </w:p>
    <w:p w:rsidR="003A0C2F" w:rsidRDefault="00F166FB">
      <w:pPr>
        <w:spacing w:after="300" w:line="248" w:lineRule="auto"/>
        <w:ind w:left="2421" w:right="538"/>
        <w:jc w:val="left"/>
      </w:pPr>
      <w:r>
        <w:rPr>
          <w:rFonts w:ascii="Calibri" w:eastAsia="Calibri" w:hAnsi="Calibri" w:cs="Calibri"/>
        </w:rPr>
        <w:t>0.tombo.per_read_stats genome.fa 0.tombo.m6A-GC-CG-only -m6A-GC-CG-only</w:t>
      </w:r>
    </w:p>
    <w:p w:rsidR="003A0C2F" w:rsidRDefault="00F166FB">
      <w:pPr>
        <w:spacing w:after="3"/>
        <w:ind w:left="2108" w:right="725"/>
      </w:pPr>
      <w:r>
        <w:t xml:space="preserve">Run the script for each individual </w:t>
      </w:r>
      <w:r>
        <w:rPr>
          <w:rFonts w:ascii="Calibri" w:eastAsia="Calibri" w:hAnsi="Calibri" w:cs="Calibri"/>
        </w:rPr>
        <w:t xml:space="preserve">tombo.per_read_stats </w:t>
      </w:r>
      <w:r>
        <w:t>file.</w:t>
      </w:r>
    </w:p>
    <w:tbl>
      <w:tblPr>
        <w:tblStyle w:val="TableGrid"/>
        <w:tblW w:w="8479" w:type="dxa"/>
        <w:tblInd w:w="0" w:type="dxa"/>
        <w:tblCellMar>
          <w:top w:w="0" w:type="dxa"/>
          <w:left w:w="0" w:type="dxa"/>
          <w:bottom w:w="0" w:type="dxa"/>
          <w:right w:w="0" w:type="dxa"/>
        </w:tblCellMar>
        <w:tblLook w:val="04A0" w:firstRow="1" w:lastRow="0" w:firstColumn="1" w:lastColumn="0" w:noHBand="0" w:noVBand="1"/>
      </w:tblPr>
      <w:tblGrid>
        <w:gridCol w:w="700"/>
        <w:gridCol w:w="1397"/>
        <w:gridCol w:w="6382"/>
      </w:tblGrid>
      <w:tr w:rsidR="003A0C2F">
        <w:trPr>
          <w:trHeight w:val="164"/>
        </w:trPr>
        <w:tc>
          <w:tcPr>
            <w:tcW w:w="700" w:type="dxa"/>
            <w:tcBorders>
              <w:top w:val="nil"/>
              <w:left w:val="nil"/>
              <w:bottom w:val="nil"/>
              <w:right w:val="nil"/>
            </w:tcBorders>
          </w:tcPr>
          <w:p w:rsidR="003A0C2F" w:rsidRDefault="00F166FB">
            <w:pPr>
              <w:spacing w:after="0" w:line="259" w:lineRule="auto"/>
              <w:ind w:left="0" w:right="0" w:firstLine="0"/>
              <w:jc w:val="left"/>
            </w:pPr>
            <w:r>
              <w:rPr>
                <w:b/>
              </w:rPr>
              <w:t>3.9.3</w:t>
            </w:r>
          </w:p>
        </w:tc>
        <w:tc>
          <w:tcPr>
            <w:tcW w:w="139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Read</w:t>
            </w:r>
          </w:p>
        </w:tc>
        <w:tc>
          <w:tcPr>
            <w:tcW w:w="6381"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3268"/>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7" w:type="dxa"/>
            <w:tcBorders>
              <w:top w:val="nil"/>
              <w:left w:val="nil"/>
              <w:bottom w:val="nil"/>
              <w:right w:val="nil"/>
            </w:tcBorders>
          </w:tcPr>
          <w:p w:rsidR="003A0C2F" w:rsidRDefault="00F166FB">
            <w:pPr>
              <w:spacing w:after="0" w:line="259" w:lineRule="auto"/>
              <w:ind w:left="0" w:right="173" w:firstLine="0"/>
              <w:jc w:val="left"/>
            </w:pPr>
            <w:r>
              <w:rPr>
                <w:rFonts w:ascii="Calibri" w:eastAsia="Calibri" w:hAnsi="Calibri" w:cs="Calibri"/>
                <w:i/>
              </w:rPr>
              <w:t>mapping and modification calling using Megalodon</w:t>
            </w:r>
          </w:p>
        </w:tc>
        <w:tc>
          <w:tcPr>
            <w:tcW w:w="6381" w:type="dxa"/>
            <w:tcBorders>
              <w:top w:val="nil"/>
              <w:left w:val="nil"/>
              <w:bottom w:val="nil"/>
              <w:right w:val="nil"/>
            </w:tcBorders>
          </w:tcPr>
          <w:p w:rsidR="003A0C2F" w:rsidRDefault="00F166FB">
            <w:pPr>
              <w:spacing w:after="65" w:line="259" w:lineRule="auto"/>
              <w:ind w:left="0" w:right="0" w:firstLine="0"/>
              <w:jc w:val="left"/>
            </w:pPr>
            <w:r>
              <w:t>Megalodon is run in one step as follows:</w:t>
            </w:r>
          </w:p>
          <w:p w:rsidR="003A0C2F" w:rsidRDefault="00F166FB">
            <w:pPr>
              <w:spacing w:after="0" w:line="259" w:lineRule="auto"/>
              <w:ind w:left="0" w:right="0" w:firstLine="0"/>
              <w:jc w:val="left"/>
            </w:pPr>
            <w:r>
              <w:rPr>
                <w:rFonts w:ascii="Calibri" w:eastAsia="Calibri" w:hAnsi="Calibri" w:cs="Calibri"/>
              </w:rPr>
              <w:t>megalodon {LOCATION_OF_FAST5_FILES}</w:t>
            </w:r>
          </w:p>
          <w:p w:rsidR="003A0C2F" w:rsidRDefault="00F166FB">
            <w:pPr>
              <w:spacing w:after="0" w:line="259" w:lineRule="auto"/>
              <w:ind w:left="0" w:right="0" w:firstLine="0"/>
              <w:jc w:val="left"/>
            </w:pPr>
            <w:r>
              <w:rPr>
                <w:rFonts w:ascii="Calibri" w:eastAsia="Calibri" w:hAnsi="Calibri" w:cs="Calibri"/>
              </w:rPr>
              <w:t>--guppy-params "-d {PATH_TO_RERIO_MODELS}"</w:t>
            </w:r>
          </w:p>
          <w:p w:rsidR="003A0C2F" w:rsidRDefault="00F166FB">
            <w:pPr>
              <w:spacing w:after="0" w:line="259" w:lineRule="auto"/>
              <w:ind w:left="0" w:right="0" w:firstLine="0"/>
            </w:pPr>
            <w:r>
              <w:rPr>
                <w:rFonts w:ascii="Calibri" w:eastAsia="Calibri" w:hAnsi="Calibri" w:cs="Calibri"/>
              </w:rPr>
              <w:t>--guppy-config res_dna_r941_min_modbases-all-context_v001.cfg</w:t>
            </w:r>
          </w:p>
          <w:p w:rsidR="003A0C2F" w:rsidRDefault="00F166FB">
            <w:pPr>
              <w:spacing w:after="0" w:line="259" w:lineRule="auto"/>
              <w:ind w:left="0" w:right="0" w:firstLine="0"/>
              <w:jc w:val="left"/>
            </w:pPr>
            <w:r>
              <w:rPr>
                <w:rFonts w:ascii="Calibri" w:eastAsia="Calibri" w:hAnsi="Calibri" w:cs="Calibri"/>
              </w:rPr>
              <w:t>--outputs basecalls,mod_basecalls,per_read_mods</w:t>
            </w:r>
          </w:p>
          <w:p w:rsidR="003A0C2F" w:rsidRDefault="00F166FB">
            <w:pPr>
              <w:spacing w:after="0" w:line="259" w:lineRule="auto"/>
              <w:ind w:left="0" w:right="0" w:firstLine="0"/>
              <w:jc w:val="left"/>
            </w:pPr>
            <w:r>
              <w:rPr>
                <w:rFonts w:ascii="Calibri" w:eastAsia="Calibri" w:hAnsi="Calibri" w:cs="Calibri"/>
              </w:rPr>
              <w:t>--reference {REFRENCE_GENO</w:t>
            </w:r>
            <w:r>
              <w:rPr>
                <w:rFonts w:ascii="Calibri" w:eastAsia="Calibri" w:hAnsi="Calibri" w:cs="Calibri"/>
              </w:rPr>
              <w:t>ME}</w:t>
            </w:r>
          </w:p>
          <w:p w:rsidR="003A0C2F" w:rsidRDefault="00F166FB">
            <w:pPr>
              <w:spacing w:after="0" w:line="259" w:lineRule="auto"/>
              <w:ind w:left="0" w:right="0" w:firstLine="0"/>
              <w:jc w:val="left"/>
            </w:pPr>
            <w:r>
              <w:rPr>
                <w:rFonts w:ascii="Calibri" w:eastAsia="Calibri" w:hAnsi="Calibri" w:cs="Calibri"/>
              </w:rPr>
              <w:t>--write-mods-text --output-directory {OUTPUT_DIR}</w:t>
            </w:r>
          </w:p>
          <w:p w:rsidR="003A0C2F" w:rsidRDefault="00F166FB">
            <w:pPr>
              <w:spacing w:after="282" w:line="259" w:lineRule="auto"/>
              <w:ind w:left="0" w:right="0" w:firstLine="0"/>
              <w:jc w:val="left"/>
            </w:pPr>
            <w:r>
              <w:rPr>
                <w:rFonts w:ascii="Calibri" w:eastAsia="Calibri" w:hAnsi="Calibri" w:cs="Calibri"/>
              </w:rPr>
              <w:t>--guppy-server-path {LOCATION_OF_GUPPY_BIN}</w:t>
            </w:r>
          </w:p>
          <w:p w:rsidR="003A0C2F" w:rsidRDefault="00F166FB">
            <w:pPr>
              <w:spacing w:after="0" w:line="259" w:lineRule="auto"/>
              <w:ind w:left="0" w:right="201" w:firstLine="0"/>
            </w:pPr>
            <w:r>
              <w:t xml:space="preserve">For the purposes of downstream single-molecule analysis the </w:t>
            </w:r>
            <w:r>
              <w:rPr>
                <w:rFonts w:ascii="Calibri" w:eastAsia="Calibri" w:hAnsi="Calibri" w:cs="Calibri"/>
              </w:rPr>
              <w:t xml:space="preserve">--outputs basecalls,mod_basecalls,per_read_mods </w:t>
            </w:r>
            <w:r>
              <w:t xml:space="preserve">and </w:t>
            </w:r>
            <w:r>
              <w:rPr>
                <w:rFonts w:ascii="Calibri" w:eastAsia="Calibri" w:hAnsi="Calibri" w:cs="Calibri"/>
              </w:rPr>
              <w:t xml:space="preserve">--write-mods-text </w:t>
            </w:r>
            <w:r>
              <w:t>options need to be specified. These will result in output of per-read modifications in a text format.</w:t>
            </w:r>
          </w:p>
        </w:tc>
      </w:tr>
      <w:tr w:rsidR="003A0C2F">
        <w:trPr>
          <w:trHeight w:val="279"/>
        </w:trPr>
        <w:tc>
          <w:tcPr>
            <w:tcW w:w="700" w:type="dxa"/>
            <w:tcBorders>
              <w:top w:val="nil"/>
              <w:left w:val="nil"/>
              <w:bottom w:val="nil"/>
              <w:right w:val="nil"/>
            </w:tcBorders>
            <w:vAlign w:val="bottom"/>
          </w:tcPr>
          <w:p w:rsidR="003A0C2F" w:rsidRDefault="00F166FB">
            <w:pPr>
              <w:spacing w:after="0" w:line="259" w:lineRule="auto"/>
              <w:ind w:left="0" w:right="0" w:firstLine="0"/>
              <w:jc w:val="left"/>
            </w:pPr>
            <w:r>
              <w:rPr>
                <w:b/>
              </w:rPr>
              <w:t>3.9.4</w:t>
            </w:r>
          </w:p>
        </w:tc>
        <w:tc>
          <w:tcPr>
            <w:tcW w:w="1397"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i/>
              </w:rPr>
              <w:t>Megalodon</w:t>
            </w:r>
          </w:p>
        </w:tc>
        <w:tc>
          <w:tcPr>
            <w:tcW w:w="6381"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1594"/>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7" w:type="dxa"/>
            <w:tcBorders>
              <w:top w:val="nil"/>
              <w:left w:val="nil"/>
              <w:bottom w:val="nil"/>
              <w:right w:val="nil"/>
            </w:tcBorders>
          </w:tcPr>
          <w:p w:rsidR="003A0C2F" w:rsidRDefault="00F166FB">
            <w:pPr>
              <w:spacing w:after="0" w:line="259" w:lineRule="auto"/>
              <w:ind w:left="0" w:right="91" w:firstLine="0"/>
              <w:jc w:val="left"/>
            </w:pPr>
            <w:r>
              <w:rPr>
                <w:rFonts w:ascii="Calibri" w:eastAsia="Calibri" w:hAnsi="Calibri" w:cs="Calibri"/>
                <w:i/>
              </w:rPr>
              <w:t>per-read modification extraction</w:t>
            </w:r>
          </w:p>
        </w:tc>
        <w:tc>
          <w:tcPr>
            <w:tcW w:w="6381" w:type="dxa"/>
            <w:tcBorders>
              <w:top w:val="nil"/>
              <w:left w:val="nil"/>
              <w:bottom w:val="nil"/>
              <w:right w:val="nil"/>
            </w:tcBorders>
          </w:tcPr>
          <w:p w:rsidR="003A0C2F" w:rsidRDefault="00F166FB">
            <w:pPr>
              <w:spacing w:after="65" w:line="259" w:lineRule="auto"/>
              <w:ind w:left="0" w:right="0" w:firstLine="0"/>
              <w:jc w:val="left"/>
            </w:pPr>
            <w:r>
              <w:t>To extract the per-read modification, we run the following script:</w:t>
            </w:r>
          </w:p>
          <w:p w:rsidR="003A0C2F" w:rsidRDefault="00F166FB">
            <w:pPr>
              <w:spacing w:after="0" w:line="236" w:lineRule="auto"/>
              <w:ind w:left="0" w:right="0" w:firstLine="0"/>
              <w:jc w:val="left"/>
            </w:pPr>
            <w:r>
              <w:rPr>
                <w:rFonts w:ascii="Calibri" w:eastAsia="Calibri" w:hAnsi="Calibri" w:cs="Calibri"/>
              </w:rPr>
              <w:t>python megalodon-to-single_line.py *.per_read_modified_base_calls.txt</w:t>
            </w:r>
          </w:p>
          <w:p w:rsidR="003A0C2F" w:rsidRDefault="00F166FB">
            <w:pPr>
              <w:spacing w:after="255" w:line="259" w:lineRule="auto"/>
              <w:ind w:left="0" w:right="0" w:firstLine="0"/>
              <w:jc w:val="left"/>
            </w:pPr>
            <w:r>
              <w:rPr>
                <w:rFonts w:ascii="Calibri" w:eastAsia="Calibri" w:hAnsi="Calibri" w:cs="Calibri"/>
              </w:rPr>
              <w:t>*megalodon.reads.tsv</w:t>
            </w:r>
          </w:p>
          <w:p w:rsidR="003A0C2F" w:rsidRDefault="00F166FB">
            <w:pPr>
              <w:spacing w:after="0" w:line="259" w:lineRule="auto"/>
              <w:ind w:left="0" w:right="0" w:firstLine="0"/>
              <w:jc w:val="left"/>
            </w:pPr>
            <w:r>
              <w:t>Run the script for each individual Megalodon file.</w:t>
            </w:r>
          </w:p>
        </w:tc>
      </w:tr>
      <w:tr w:rsidR="003A0C2F">
        <w:trPr>
          <w:trHeight w:val="279"/>
        </w:trPr>
        <w:tc>
          <w:tcPr>
            <w:tcW w:w="700" w:type="dxa"/>
            <w:tcBorders>
              <w:top w:val="nil"/>
              <w:left w:val="nil"/>
              <w:bottom w:val="nil"/>
              <w:right w:val="nil"/>
            </w:tcBorders>
            <w:vAlign w:val="bottom"/>
          </w:tcPr>
          <w:p w:rsidR="003A0C2F" w:rsidRDefault="00F166FB">
            <w:pPr>
              <w:spacing w:after="0" w:line="259" w:lineRule="auto"/>
              <w:ind w:left="0" w:right="0" w:firstLine="0"/>
              <w:jc w:val="left"/>
            </w:pPr>
            <w:r>
              <w:rPr>
                <w:b/>
              </w:rPr>
              <w:t>3.9.5</w:t>
            </w:r>
          </w:p>
        </w:tc>
        <w:tc>
          <w:tcPr>
            <w:tcW w:w="1397"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i/>
              </w:rPr>
              <w:t>Merging</w:t>
            </w:r>
          </w:p>
        </w:tc>
        <w:tc>
          <w:tcPr>
            <w:tcW w:w="6381"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491"/>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7" w:type="dxa"/>
            <w:tcBorders>
              <w:top w:val="nil"/>
              <w:left w:val="nil"/>
              <w:bottom w:val="nil"/>
              <w:right w:val="nil"/>
            </w:tcBorders>
          </w:tcPr>
          <w:p w:rsidR="003A0C2F" w:rsidRDefault="00F166FB">
            <w:pPr>
              <w:spacing w:after="0" w:line="259" w:lineRule="auto"/>
              <w:ind w:left="0" w:right="190" w:firstLine="0"/>
              <w:jc w:val="left"/>
            </w:pPr>
            <w:r>
              <w:rPr>
                <w:rFonts w:ascii="Calibri" w:eastAsia="Calibri" w:hAnsi="Calibri" w:cs="Calibri"/>
                <w:i/>
              </w:rPr>
              <w:t>and indexing</w:t>
            </w:r>
          </w:p>
        </w:tc>
        <w:tc>
          <w:tcPr>
            <w:tcW w:w="6381" w:type="dxa"/>
            <w:tcBorders>
              <w:top w:val="nil"/>
              <w:left w:val="nil"/>
              <w:bottom w:val="nil"/>
              <w:right w:val="nil"/>
            </w:tcBorders>
          </w:tcPr>
          <w:p w:rsidR="003A0C2F" w:rsidRDefault="00F166FB">
            <w:pPr>
              <w:spacing w:after="0" w:line="259" w:lineRule="auto"/>
              <w:ind w:left="0" w:right="0" w:firstLine="0"/>
            </w:pPr>
            <w:r>
              <w:t>Merge the converted files into a single file, and sort by coordinates in the same step:</w:t>
            </w:r>
          </w:p>
        </w:tc>
      </w:tr>
    </w:tbl>
    <w:p w:rsidR="003A0C2F" w:rsidRDefault="00F166FB">
      <w:pPr>
        <w:spacing w:after="297" w:line="248" w:lineRule="auto"/>
        <w:ind w:left="2621" w:right="2421" w:hanging="523"/>
        <w:jc w:val="left"/>
      </w:pPr>
      <w:r>
        <w:rPr>
          <w:rFonts w:ascii="Calibri" w:eastAsia="Calibri" w:hAnsi="Calibri" w:cs="Calibri"/>
        </w:rPr>
        <w:t>cat *.reads.tsv | sort -k1,1 -k2,2n -k3,3n | bgzip &gt; merged.reads.tsv.bgz</w:t>
      </w:r>
    </w:p>
    <w:p w:rsidR="003A0C2F" w:rsidRDefault="00F166FB">
      <w:pPr>
        <w:ind w:left="2108" w:right="725"/>
      </w:pPr>
      <w:r>
        <w:lastRenderedPageBreak/>
        <w:t xml:space="preserve">Then </w:t>
      </w:r>
      <w:r>
        <w:rPr>
          <w:rFonts w:ascii="Calibri" w:eastAsia="Calibri" w:hAnsi="Calibri" w:cs="Calibri"/>
        </w:rPr>
        <w:t>tabix</w:t>
      </w:r>
      <w:r>
        <w:t>-index the file:</w:t>
      </w:r>
    </w:p>
    <w:p w:rsidR="003A0C2F" w:rsidRDefault="00F166FB">
      <w:pPr>
        <w:spacing w:after="291" w:line="248" w:lineRule="auto"/>
        <w:ind w:left="1062" w:right="1584"/>
        <w:jc w:val="center"/>
      </w:pPr>
      <w:r>
        <w:rPr>
          <w:rFonts w:ascii="Calibri" w:eastAsia="Calibri" w:hAnsi="Calibri" w:cs="Calibri"/>
        </w:rPr>
        <w:t>tabix -s 1 -b 2 -e 3 merged.reads.tsv.bgz</w:t>
      </w:r>
    </w:p>
    <w:p w:rsidR="003A0C2F" w:rsidRDefault="00F166FB">
      <w:pPr>
        <w:spacing w:after="213"/>
        <w:ind w:left="2108" w:right="725"/>
      </w:pPr>
      <w:r>
        <w:t xml:space="preserve">This will create a </w:t>
      </w:r>
      <w:r>
        <w:rPr>
          <w:rFonts w:ascii="Calibri" w:eastAsia="Calibri" w:hAnsi="Calibri" w:cs="Calibri"/>
        </w:rPr>
        <w:t>tabix</w:t>
      </w:r>
      <w:r>
        <w:t>-index —.bgz— file in the following format, with one entry for each read:</w:t>
      </w:r>
    </w:p>
    <w:p w:rsidR="003A0C2F" w:rsidRDefault="00F166FB">
      <w:pPr>
        <w:numPr>
          <w:ilvl w:val="0"/>
          <w:numId w:val="10"/>
        </w:numPr>
        <w:ind w:right="725" w:hanging="255"/>
      </w:pPr>
      <w:r>
        <w:t>Column 1: chromosome</w:t>
      </w:r>
    </w:p>
    <w:p w:rsidR="003A0C2F" w:rsidRDefault="00F166FB">
      <w:pPr>
        <w:numPr>
          <w:ilvl w:val="0"/>
          <w:numId w:val="10"/>
        </w:numPr>
        <w:ind w:right="725" w:hanging="255"/>
      </w:pPr>
      <w:r>
        <w:t>Column 2: left-most modified/informative position within the read</w:t>
      </w:r>
    </w:p>
    <w:p w:rsidR="003A0C2F" w:rsidRDefault="00F166FB">
      <w:pPr>
        <w:numPr>
          <w:ilvl w:val="0"/>
          <w:numId w:val="10"/>
        </w:numPr>
        <w:ind w:right="725" w:hanging="255"/>
      </w:pPr>
      <w:r>
        <w:t>Column 3: right-most modified/informative position within the read</w:t>
      </w:r>
    </w:p>
    <w:p w:rsidR="003A0C2F" w:rsidRDefault="00F166FB">
      <w:pPr>
        <w:numPr>
          <w:ilvl w:val="0"/>
          <w:numId w:val="10"/>
        </w:numPr>
        <w:spacing w:after="94" w:line="260" w:lineRule="auto"/>
        <w:ind w:right="725" w:hanging="255"/>
      </w:pPr>
      <w:r>
        <w:t xml:space="preserve">Column 4: </w:t>
      </w:r>
      <w:r>
        <w:rPr>
          <w:rFonts w:ascii="Calibri" w:eastAsia="Calibri" w:hAnsi="Calibri" w:cs="Calibri"/>
        </w:rPr>
        <w:t xml:space="preserve">. </w:t>
      </w:r>
      <w:r>
        <w:t>character (for l</w:t>
      </w:r>
      <w:r>
        <w:t>egacy reasons)</w:t>
      </w:r>
    </w:p>
    <w:p w:rsidR="003A0C2F" w:rsidRDefault="00F166FB">
      <w:pPr>
        <w:numPr>
          <w:ilvl w:val="0"/>
          <w:numId w:val="10"/>
        </w:numPr>
        <w:ind w:right="725" w:hanging="255"/>
      </w:pPr>
      <w:r>
        <w:t>Column 5: nanopore read ID</w:t>
      </w:r>
    </w:p>
    <w:p w:rsidR="003A0C2F" w:rsidRDefault="00F166FB">
      <w:pPr>
        <w:numPr>
          <w:ilvl w:val="0"/>
          <w:numId w:val="10"/>
        </w:numPr>
        <w:spacing w:after="94" w:line="260" w:lineRule="auto"/>
        <w:ind w:right="725" w:hanging="255"/>
      </w:pPr>
      <w:r>
        <w:t xml:space="preserve">Column 6: </w:t>
      </w:r>
      <w:r>
        <w:rPr>
          <w:rFonts w:ascii="Calibri" w:eastAsia="Calibri" w:hAnsi="Calibri" w:cs="Calibri"/>
        </w:rPr>
        <w:t xml:space="preserve">nan </w:t>
      </w:r>
      <w:r>
        <w:t>(for legacy reasons)</w:t>
      </w:r>
    </w:p>
    <w:p w:rsidR="003A0C2F" w:rsidRDefault="00F166FB">
      <w:pPr>
        <w:numPr>
          <w:ilvl w:val="0"/>
          <w:numId w:val="10"/>
        </w:numPr>
        <w:ind w:right="725" w:hanging="255"/>
      </w:pPr>
      <w:r>
        <w:t>Column 7: comma-separated list of modified/informative positions</w:t>
      </w:r>
    </w:p>
    <w:p w:rsidR="003A0C2F" w:rsidRDefault="00F166FB">
      <w:pPr>
        <w:numPr>
          <w:ilvl w:val="0"/>
          <w:numId w:val="10"/>
        </w:numPr>
        <w:ind w:right="725" w:hanging="255"/>
      </w:pPr>
      <w:r>
        <w:t>Column 8: comma-separated list of Tombo probabilities, matching the order of the positions in Column 7.</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700"/>
        <w:gridCol w:w="1398"/>
        <w:gridCol w:w="6179"/>
      </w:tblGrid>
      <w:tr w:rsidR="003A0C2F">
        <w:trPr>
          <w:trHeight w:val="164"/>
        </w:trPr>
        <w:tc>
          <w:tcPr>
            <w:tcW w:w="700" w:type="dxa"/>
            <w:tcBorders>
              <w:top w:val="nil"/>
              <w:left w:val="nil"/>
              <w:bottom w:val="nil"/>
              <w:right w:val="nil"/>
            </w:tcBorders>
          </w:tcPr>
          <w:p w:rsidR="003A0C2F" w:rsidRDefault="00F166FB">
            <w:pPr>
              <w:spacing w:after="0" w:line="259" w:lineRule="auto"/>
              <w:ind w:left="0" w:right="0" w:firstLine="0"/>
              <w:jc w:val="left"/>
            </w:pPr>
            <w:r>
              <w:rPr>
                <w:b/>
              </w:rPr>
              <w:t>3.9.6</w:t>
            </w:r>
          </w:p>
        </w:tc>
        <w:tc>
          <w:tcPr>
            <w:tcW w:w="139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Calc</w:t>
            </w:r>
            <w:r>
              <w:rPr>
                <w:rFonts w:ascii="Calibri" w:eastAsia="Calibri" w:hAnsi="Calibri" w:cs="Calibri"/>
                <w:i/>
              </w:rPr>
              <w:t>ulate</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2072"/>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mapping</w:t>
            </w:r>
          </w:p>
          <w:p w:rsidR="003A0C2F" w:rsidRDefault="00F166FB">
            <w:pPr>
              <w:spacing w:after="0" w:line="259" w:lineRule="auto"/>
              <w:ind w:left="0" w:right="0" w:firstLine="0"/>
              <w:jc w:val="left"/>
            </w:pPr>
            <w:r>
              <w:rPr>
                <w:rFonts w:ascii="Calibri" w:eastAsia="Calibri" w:hAnsi="Calibri" w:cs="Calibri"/>
                <w:i/>
              </w:rPr>
              <w:t>statistics</w:t>
            </w:r>
          </w:p>
        </w:tc>
        <w:tc>
          <w:tcPr>
            <w:tcW w:w="6180" w:type="dxa"/>
            <w:tcBorders>
              <w:top w:val="nil"/>
              <w:left w:val="nil"/>
              <w:bottom w:val="nil"/>
              <w:right w:val="nil"/>
            </w:tcBorders>
          </w:tcPr>
          <w:p w:rsidR="003A0C2F" w:rsidRDefault="00F166FB">
            <w:pPr>
              <w:spacing w:after="65" w:line="259" w:lineRule="auto"/>
              <w:ind w:left="0" w:right="0" w:firstLine="0"/>
              <w:jc w:val="left"/>
            </w:pPr>
            <w:r>
              <w:t>Calculate read mapping statistics as follows:</w:t>
            </w:r>
          </w:p>
          <w:p w:rsidR="003A0C2F" w:rsidRDefault="00F166FB">
            <w:pPr>
              <w:spacing w:after="0" w:line="259" w:lineRule="auto"/>
              <w:ind w:left="0" w:right="0" w:firstLine="0"/>
              <w:jc w:val="left"/>
            </w:pPr>
            <w:r>
              <w:rPr>
                <w:rFonts w:ascii="Calibri" w:eastAsia="Calibri" w:hAnsi="Calibri" w:cs="Calibri"/>
              </w:rPr>
              <w:t>python NanoporeTSVMappingStats.py</w:t>
            </w:r>
          </w:p>
          <w:p w:rsidR="003A0C2F" w:rsidRDefault="00F166FB">
            <w:pPr>
              <w:spacing w:after="279" w:line="236" w:lineRule="auto"/>
              <w:ind w:left="732" w:right="217" w:firstLine="0"/>
              <w:jc w:val="left"/>
            </w:pPr>
            <w:r>
              <w:rPr>
                <w:rFonts w:ascii="Calibri" w:eastAsia="Calibri" w:hAnsi="Calibri" w:cs="Calibri"/>
              </w:rPr>
              <w:t>merged.reads.tsv.bgz NanoporeTSVMappingStats-merged</w:t>
            </w:r>
          </w:p>
          <w:p w:rsidR="003A0C2F" w:rsidRDefault="00F166FB">
            <w:pPr>
              <w:spacing w:after="0" w:line="259" w:lineRule="auto"/>
              <w:ind w:left="0" w:right="0" w:firstLine="0"/>
            </w:pPr>
            <w:r>
              <w:t>This will produce a short report with the total number of mapped reads, the total number of mapped bases, the mean mapped read length and the median read length.</w:t>
            </w:r>
          </w:p>
        </w:tc>
      </w:tr>
      <w:tr w:rsidR="003A0C2F">
        <w:trPr>
          <w:trHeight w:val="279"/>
        </w:trPr>
        <w:tc>
          <w:tcPr>
            <w:tcW w:w="700" w:type="dxa"/>
            <w:tcBorders>
              <w:top w:val="nil"/>
              <w:left w:val="nil"/>
              <w:bottom w:val="nil"/>
              <w:right w:val="nil"/>
            </w:tcBorders>
            <w:vAlign w:val="bottom"/>
          </w:tcPr>
          <w:p w:rsidR="003A0C2F" w:rsidRDefault="00F166FB">
            <w:pPr>
              <w:spacing w:after="0" w:line="259" w:lineRule="auto"/>
              <w:ind w:left="0" w:right="0" w:firstLine="0"/>
              <w:jc w:val="left"/>
            </w:pPr>
            <w:r>
              <w:rPr>
                <w:b/>
              </w:rPr>
              <w:t>3.9.7</w:t>
            </w:r>
          </w:p>
        </w:tc>
        <w:tc>
          <w:tcPr>
            <w:tcW w:w="1398" w:type="dxa"/>
            <w:tcBorders>
              <w:top w:val="nil"/>
              <w:left w:val="nil"/>
              <w:bottom w:val="nil"/>
              <w:right w:val="nil"/>
            </w:tcBorders>
            <w:vAlign w:val="bottom"/>
          </w:tcPr>
          <w:p w:rsidR="003A0C2F" w:rsidRDefault="00F166FB">
            <w:pPr>
              <w:spacing w:after="0" w:line="259" w:lineRule="auto"/>
              <w:ind w:left="0" w:right="0" w:firstLine="0"/>
              <w:jc w:val="left"/>
            </w:pPr>
            <w:r>
              <w:rPr>
                <w:rFonts w:ascii="Calibri" w:eastAsia="Calibri" w:hAnsi="Calibri" w:cs="Calibri"/>
                <w:i/>
              </w:rPr>
              <w:t>Create</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881"/>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8"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coverage</w:t>
            </w:r>
          </w:p>
          <w:p w:rsidR="003A0C2F" w:rsidRDefault="00F166FB">
            <w:pPr>
              <w:spacing w:after="0" w:line="259" w:lineRule="auto"/>
              <w:ind w:left="0" w:right="0" w:firstLine="0"/>
              <w:jc w:val="left"/>
            </w:pPr>
            <w:r>
              <w:rPr>
                <w:rFonts w:ascii="Calibri" w:eastAsia="Calibri" w:hAnsi="Calibri" w:cs="Calibri"/>
                <w:i/>
              </w:rPr>
              <w:t>file</w:t>
            </w:r>
          </w:p>
        </w:tc>
        <w:tc>
          <w:tcPr>
            <w:tcW w:w="6180" w:type="dxa"/>
            <w:tcBorders>
              <w:top w:val="nil"/>
              <w:left w:val="nil"/>
              <w:bottom w:val="nil"/>
              <w:right w:val="nil"/>
            </w:tcBorders>
          </w:tcPr>
          <w:p w:rsidR="003A0C2F" w:rsidRDefault="00F166FB">
            <w:pPr>
              <w:spacing w:after="0" w:line="259" w:lineRule="auto"/>
              <w:ind w:left="0" w:right="0" w:firstLine="0"/>
            </w:pPr>
            <w:r>
              <w:t xml:space="preserve">While the true strength of SMAC-seq lies in the single-molecule analysis, SMAC-seq data can also be highly informative at an aggregate level, which allows for CREs and positioned nucleosomes to be discerned by visualization of average SMAC-seq profiles on </w:t>
            </w:r>
            <w:r>
              <w:t>a genome browser.</w:t>
            </w:r>
          </w:p>
        </w:tc>
      </w:tr>
    </w:tbl>
    <w:p w:rsidR="003A0C2F" w:rsidRDefault="00F166FB">
      <w:pPr>
        <w:spacing w:after="66"/>
        <w:ind w:left="2108" w:right="725"/>
      </w:pPr>
      <w:r>
        <w:t>For the purpose of such analyses, a coverage file in the style of the output from the popular bisulfite sequencing analysis tool Bismark [</w:t>
      </w:r>
      <w:r>
        <w:rPr>
          <w:color w:val="422874"/>
        </w:rPr>
        <w:t>34</w:t>
      </w:r>
      <w:r>
        <w:t xml:space="preserve">] is created, using the </w:t>
      </w:r>
      <w:r>
        <w:rPr>
          <w:rFonts w:ascii="Calibri" w:eastAsia="Calibri" w:hAnsi="Calibri" w:cs="Calibri"/>
        </w:rPr>
        <w:t xml:space="preserve">methylation-reads-tsv-to_coverage.py </w:t>
      </w:r>
      <w:r>
        <w:t>script:</w:t>
      </w:r>
    </w:p>
    <w:p w:rsidR="003A0C2F" w:rsidRDefault="00F166FB">
      <w:pPr>
        <w:spacing w:after="5" w:line="248" w:lineRule="auto"/>
        <w:ind w:left="2108" w:right="538"/>
        <w:jc w:val="left"/>
      </w:pPr>
      <w:r>
        <w:rPr>
          <w:rFonts w:ascii="Calibri" w:eastAsia="Calibri" w:hAnsi="Calibri" w:cs="Calibri"/>
        </w:rPr>
        <w:t>python methylation_reads_all.tsv threshold outfile</w:t>
      </w:r>
    </w:p>
    <w:p w:rsidR="003A0C2F" w:rsidRDefault="00F166FB">
      <w:pPr>
        <w:spacing w:after="12" w:line="248" w:lineRule="auto"/>
        <w:ind w:left="1062" w:right="1689"/>
        <w:jc w:val="center"/>
      </w:pPr>
      <w:r>
        <w:rPr>
          <w:rFonts w:ascii="Calibri" w:eastAsia="Calibri" w:hAnsi="Calibri" w:cs="Calibri"/>
        </w:rPr>
        <w:t>[-stranded +|-] [-minAbsLogLike float]</w:t>
      </w:r>
    </w:p>
    <w:p w:rsidR="003A0C2F" w:rsidRDefault="00F166FB">
      <w:pPr>
        <w:spacing w:after="5" w:line="248" w:lineRule="auto"/>
        <w:ind w:left="2212" w:right="538"/>
        <w:jc w:val="left"/>
      </w:pPr>
      <w:r>
        <w:rPr>
          <w:rFonts w:ascii="Calibri" w:eastAsia="Calibri" w:hAnsi="Calibri" w:cs="Calibri"/>
        </w:rPr>
        <w:t>[-minAbsPValue float]</w:t>
      </w:r>
    </w:p>
    <w:p w:rsidR="003A0C2F" w:rsidRDefault="00F166FB">
      <w:pPr>
        <w:spacing w:after="5" w:line="248" w:lineRule="auto"/>
        <w:ind w:left="2212" w:right="538"/>
        <w:jc w:val="left"/>
      </w:pPr>
      <w:r>
        <w:rPr>
          <w:rFonts w:ascii="Calibri" w:eastAsia="Calibri" w:hAnsi="Calibri" w:cs="Calibri"/>
        </w:rPr>
        <w:t>[-BayesianIntegration window(bp) step alpha beta pseudosamplesize] [-N6mAweight pseudosamplesize genome.fa]</w:t>
      </w:r>
    </w:p>
    <w:p w:rsidR="003A0C2F" w:rsidRDefault="00F166FB">
      <w:pPr>
        <w:spacing w:after="265" w:line="248" w:lineRule="auto"/>
        <w:ind w:left="1062" w:right="1794"/>
        <w:jc w:val="center"/>
      </w:pPr>
      <w:r>
        <w:rPr>
          <w:rFonts w:ascii="Calibri" w:eastAsia="Calibri" w:hAnsi="Calibri" w:cs="Calibri"/>
        </w:rPr>
        <w:t>[-saveNewSingleMoleculeFile filename</w:t>
      </w:r>
      <w:r>
        <w:rPr>
          <w:rFonts w:ascii="Calibri" w:eastAsia="Calibri" w:hAnsi="Calibri" w:cs="Calibri"/>
        </w:rPr>
        <w:t>]</w:t>
      </w:r>
    </w:p>
    <w:p w:rsidR="003A0C2F" w:rsidRDefault="00F166FB">
      <w:pPr>
        <w:ind w:left="2108" w:right="725"/>
      </w:pPr>
      <w:r>
        <w:t xml:space="preserve">Nanopore DNA modification data is not binary, instead it is recorded as probabilities. It thus has to be binarized at some threshold. We have found, through exploration of the parameter space and comparison to </w:t>
      </w:r>
      <w:r>
        <w:lastRenderedPageBreak/>
        <w:t>known biological truths, that the most intui</w:t>
      </w:r>
      <w:r>
        <w:t>tive threshold of 0.5 works optimally [</w:t>
      </w:r>
      <w:r>
        <w:rPr>
          <w:color w:val="422874"/>
        </w:rPr>
        <w:t>22</w:t>
      </w:r>
      <w:r>
        <w:t>]. Example:</w:t>
      </w:r>
    </w:p>
    <w:p w:rsidR="003A0C2F" w:rsidRDefault="00F166FB">
      <w:pPr>
        <w:spacing w:after="12" w:line="248" w:lineRule="auto"/>
        <w:ind w:left="1062" w:right="1375"/>
        <w:jc w:val="center"/>
      </w:pPr>
      <w:r>
        <w:rPr>
          <w:rFonts w:ascii="Calibri" w:eastAsia="Calibri" w:hAnsi="Calibri" w:cs="Calibri"/>
        </w:rPr>
        <w:t>python methylation-reads-tsv-to_coverage.py</w:t>
      </w:r>
    </w:p>
    <w:p w:rsidR="003A0C2F" w:rsidRDefault="00F166FB">
      <w:pPr>
        <w:spacing w:after="285" w:line="248" w:lineRule="auto"/>
        <w:ind w:left="2302" w:right="1480"/>
        <w:jc w:val="left"/>
      </w:pPr>
      <w:r>
        <w:rPr>
          <w:rFonts w:ascii="Calibri" w:eastAsia="Calibri" w:hAnsi="Calibri" w:cs="Calibri"/>
        </w:rPr>
        <w:t>merged.reads.tsv.bgz 0.5 merged.cutoff_0.5.coverage</w:t>
      </w:r>
    </w:p>
    <w:p w:rsidR="003A0C2F" w:rsidRDefault="00F166FB">
      <w:pPr>
        <w:spacing w:after="254" w:line="260" w:lineRule="auto"/>
        <w:ind w:right="460"/>
        <w:jc w:val="center"/>
      </w:pPr>
      <w:r>
        <w:t xml:space="preserve">Convert the resulting plain text file to a </w:t>
      </w:r>
      <w:r>
        <w:rPr>
          <w:rFonts w:ascii="Calibri" w:eastAsia="Calibri" w:hAnsi="Calibri" w:cs="Calibri"/>
        </w:rPr>
        <w:t xml:space="preserve">.bgz </w:t>
      </w:r>
      <w:r>
        <w:t>file:</w:t>
      </w:r>
    </w:p>
    <w:p w:rsidR="003A0C2F" w:rsidRDefault="00F166FB">
      <w:pPr>
        <w:spacing w:after="128" w:line="383" w:lineRule="auto"/>
        <w:ind w:left="2093" w:right="2735"/>
      </w:pPr>
      <w:r>
        <w:rPr>
          <w:rFonts w:ascii="Calibri" w:eastAsia="Calibri" w:hAnsi="Calibri" w:cs="Calibri"/>
        </w:rPr>
        <w:t>cat merged.cutoff_0.5.coverage | bgzip &gt;</w:t>
      </w:r>
      <w:r>
        <w:rPr>
          <w:rFonts w:ascii="Calibri" w:eastAsia="Calibri" w:hAnsi="Calibri" w:cs="Calibri"/>
        </w:rPr>
        <w:t xml:space="preserve"> merged.cutoff_0.5.coverage.bgz </w:t>
      </w:r>
      <w:r>
        <w:t xml:space="preserve">Then </w:t>
      </w:r>
      <w:r>
        <w:rPr>
          <w:rFonts w:ascii="Calibri" w:eastAsia="Calibri" w:hAnsi="Calibri" w:cs="Calibri"/>
        </w:rPr>
        <w:t>tabix</w:t>
      </w:r>
      <w:r>
        <w:t>-index it:</w:t>
      </w:r>
    </w:p>
    <w:p w:rsidR="003A0C2F" w:rsidRDefault="00F166FB">
      <w:pPr>
        <w:spacing w:after="283" w:line="248" w:lineRule="auto"/>
        <w:ind w:left="2108" w:right="538"/>
        <w:jc w:val="left"/>
      </w:pPr>
      <w:r>
        <w:rPr>
          <w:rFonts w:ascii="Calibri" w:eastAsia="Calibri" w:hAnsi="Calibri" w:cs="Calibri"/>
        </w:rPr>
        <w:t>tabix -s 1 -b 2 -e 3 merged.cutoff_0.5.coverage.bgz</w:t>
      </w:r>
    </w:p>
    <w:p w:rsidR="003A0C2F" w:rsidRDefault="00F166FB">
      <w:pPr>
        <w:spacing w:after="203" w:line="260" w:lineRule="auto"/>
        <w:ind w:right="881"/>
        <w:jc w:val="center"/>
      </w:pPr>
      <w:r>
        <w:t xml:space="preserve">The format of the </w:t>
      </w:r>
      <w:r>
        <w:rPr>
          <w:rFonts w:ascii="Calibri" w:eastAsia="Calibri" w:hAnsi="Calibri" w:cs="Calibri"/>
        </w:rPr>
        <w:t xml:space="preserve">coverage </w:t>
      </w:r>
      <w:r>
        <w:t>file is as follows:</w:t>
      </w:r>
    </w:p>
    <w:p w:rsidR="003A0C2F" w:rsidRDefault="00F166FB">
      <w:pPr>
        <w:numPr>
          <w:ilvl w:val="0"/>
          <w:numId w:val="11"/>
        </w:numPr>
        <w:ind w:right="725" w:hanging="255"/>
      </w:pPr>
      <w:r>
        <w:t>Column 1: chromosome</w:t>
      </w:r>
    </w:p>
    <w:p w:rsidR="003A0C2F" w:rsidRDefault="00F166FB">
      <w:pPr>
        <w:numPr>
          <w:ilvl w:val="0"/>
          <w:numId w:val="11"/>
        </w:numPr>
        <w:ind w:right="725" w:hanging="255"/>
      </w:pPr>
      <w:r>
        <w:t>Column 2: left-most position of the modified/informative sequence context</w:t>
      </w:r>
    </w:p>
    <w:p w:rsidR="003A0C2F" w:rsidRDefault="00F166FB">
      <w:pPr>
        <w:numPr>
          <w:ilvl w:val="0"/>
          <w:numId w:val="11"/>
        </w:numPr>
        <w:ind w:right="725" w:hanging="255"/>
      </w:pPr>
      <w:r>
        <w:t>Column 3: right-most position of the modified/informative sequence context</w:t>
      </w:r>
    </w:p>
    <w:p w:rsidR="003A0C2F" w:rsidRDefault="00F166FB">
      <w:pPr>
        <w:numPr>
          <w:ilvl w:val="0"/>
          <w:numId w:val="11"/>
        </w:numPr>
        <w:ind w:right="725" w:hanging="255"/>
      </w:pPr>
      <w:r>
        <w:t>Column 4: number reads in which the sequence context is methylated</w:t>
      </w:r>
    </w:p>
    <w:p w:rsidR="003A0C2F" w:rsidRDefault="00F166FB">
      <w:pPr>
        <w:numPr>
          <w:ilvl w:val="0"/>
          <w:numId w:val="11"/>
        </w:numPr>
        <w:ind w:right="725" w:hanging="255"/>
      </w:pPr>
      <w:r>
        <w:t>Column 5: number reads in which the sequence context is unmethylated</w:t>
      </w:r>
    </w:p>
    <w:p w:rsidR="003A0C2F" w:rsidRDefault="00F166FB">
      <w:pPr>
        <w:numPr>
          <w:ilvl w:val="0"/>
          <w:numId w:val="11"/>
        </w:numPr>
        <w:spacing w:after="302" w:line="260" w:lineRule="auto"/>
        <w:ind w:right="725" w:hanging="255"/>
      </w:pPr>
      <w:r>
        <w:t>Column 6: total number of reads</w:t>
      </w:r>
    </w:p>
    <w:p w:rsidR="003A0C2F" w:rsidRDefault="00F166FB">
      <w:pPr>
        <w:pStyle w:val="Heading3"/>
        <w:tabs>
          <w:tab w:val="center" w:pos="1157"/>
        </w:tabs>
        <w:ind w:left="-15" w:firstLine="0"/>
      </w:pPr>
      <w:r>
        <w:rPr>
          <w:rFonts w:ascii="Cambria" w:eastAsia="Cambria" w:hAnsi="Cambria" w:cs="Cambria"/>
          <w:b/>
          <w:i w:val="0"/>
        </w:rPr>
        <w:t>3.9.8</w:t>
      </w:r>
      <w:r>
        <w:rPr>
          <w:rFonts w:ascii="Cambria" w:eastAsia="Cambria" w:hAnsi="Cambria" w:cs="Cambria"/>
          <w:b/>
          <w:i w:val="0"/>
        </w:rPr>
        <w:tab/>
      </w:r>
      <w:r>
        <w:t>Bayseia</w:t>
      </w:r>
      <w:r>
        <w:t>n</w:t>
      </w:r>
    </w:p>
    <w:p w:rsidR="003A0C2F" w:rsidRDefault="00F166FB">
      <w:pPr>
        <w:spacing w:after="72"/>
        <w:ind w:left="700" w:right="725" w:firstLine="1398"/>
      </w:pPr>
      <w:r>
        <w:t>Even when using m</w:t>
      </w:r>
      <w:r>
        <w:rPr>
          <w:vertAlign w:val="superscript"/>
        </w:rPr>
        <w:t>6</w:t>
      </w:r>
      <w:r>
        <w:t>A, SMAC-seq still does not cover every single nu</w:t>
      </w:r>
      <w:r>
        <w:rPr>
          <w:rFonts w:ascii="Calibri" w:eastAsia="Calibri" w:hAnsi="Calibri" w:cs="Calibri"/>
          <w:i/>
        </w:rPr>
        <w:t xml:space="preserve">integration </w:t>
      </w:r>
      <w:r>
        <w:t>cleotide in the genome, and coverage varies substantially between different locations depending on local sequence content differences. In addition, base calling for ONT data is</w:t>
      </w:r>
      <w:r>
        <w:t xml:space="preserve"> still far from perfectly accurate (</w:t>
      </w:r>
      <w:r>
        <w:rPr>
          <w:i/>
        </w:rPr>
        <w:t xml:space="preserve">see </w:t>
      </w:r>
      <w:r>
        <w:rPr>
          <w:b/>
        </w:rPr>
        <w:t xml:space="preserve">Note </w:t>
      </w:r>
      <w:r>
        <w:rPr>
          <w:b/>
          <w:color w:val="E4322B"/>
        </w:rPr>
        <w:t>13</w:t>
      </w:r>
      <w:r>
        <w:t>), and detecting modifications is particularly challenging. On the other hand, the biologically meaningful length scale for DNA accessibility is not necessary the individual basepair, but somewhat larger seque</w:t>
      </w:r>
      <w:r>
        <w:t>nce contexts.</w:t>
      </w:r>
    </w:p>
    <w:p w:rsidR="003A0C2F" w:rsidRDefault="00F166FB">
      <w:pPr>
        <w:ind w:left="2108" w:right="725"/>
      </w:pPr>
      <w:r>
        <w:t>For these reasons we often use aggregate accessibility scores over fixedlength windows, which combine information over all available informative positions in the window, thus providing more reliable, even if coarser-grained, views of accessibility patterns</w:t>
      </w:r>
      <w:r>
        <w:t>. This is done using a simple Bayesian procedure, as follows.</w:t>
      </w:r>
    </w:p>
    <w:p w:rsidR="003A0C2F" w:rsidRDefault="00F166FB">
      <w:pPr>
        <w:spacing w:after="76"/>
        <w:ind w:left="2108" w:right="725"/>
      </w:pPr>
      <w:r>
        <w:t xml:space="preserve">For a given window of width </w:t>
      </w:r>
      <w:r>
        <w:rPr>
          <w:i/>
        </w:rPr>
        <w:t>w</w:t>
      </w:r>
      <w:r>
        <w:t xml:space="preserve">, specified by coordinates </w:t>
      </w:r>
      <w:r>
        <w:rPr>
          <w:i/>
        </w:rPr>
        <w:t>c,i,i</w:t>
      </w:r>
      <w:r>
        <w:t>+</w:t>
      </w:r>
      <w:r>
        <w:rPr>
          <w:i/>
        </w:rPr>
        <w:t xml:space="preserve">w </w:t>
      </w:r>
      <w:r>
        <w:t xml:space="preserve">(where </w:t>
      </w:r>
      <w:r>
        <w:rPr>
          <w:i/>
        </w:rPr>
        <w:t xml:space="preserve">c </w:t>
      </w:r>
      <w:r>
        <w:t xml:space="preserve">is the chromosome, and </w:t>
      </w:r>
      <w:r>
        <w:rPr>
          <w:i/>
        </w:rPr>
        <w:t xml:space="preserve">i </w:t>
      </w:r>
      <w:r>
        <w:t xml:space="preserve">is the leftmost coordinate of the window), and for all reads </w:t>
      </w:r>
      <w:r>
        <w:rPr>
          <w:i/>
        </w:rPr>
        <w:t xml:space="preserve">r </w:t>
      </w:r>
      <w:r>
        <w:t xml:space="preserve">∈ </w:t>
      </w:r>
      <w:r>
        <w:rPr>
          <w:i/>
        </w:rPr>
        <w:t>R</w:t>
      </w:r>
      <w:r>
        <w:rPr>
          <w:i/>
          <w:vertAlign w:val="subscript"/>
        </w:rPr>
        <w:t>c,i,i</w:t>
      </w:r>
      <w:r>
        <w:rPr>
          <w:vertAlign w:val="subscript"/>
        </w:rPr>
        <w:t>+</w:t>
      </w:r>
      <w:r>
        <w:rPr>
          <w:i/>
          <w:vertAlign w:val="subscript"/>
        </w:rPr>
        <w:t xml:space="preserve">w </w:t>
      </w:r>
      <w:r>
        <w:t>fully spanning the win</w:t>
      </w:r>
      <w:r>
        <w:t xml:space="preserve">dow, we obtain all Tombo probabilities </w:t>
      </w:r>
      <w:r>
        <w:rPr>
          <w:i/>
        </w:rPr>
        <w:t>p</w:t>
      </w:r>
      <w:r>
        <w:rPr>
          <w:i/>
          <w:vertAlign w:val="subscript"/>
        </w:rPr>
        <w:t>r,</w:t>
      </w:r>
      <w:r>
        <w:rPr>
          <w:vertAlign w:val="subscript"/>
        </w:rPr>
        <w:t>(</w:t>
      </w:r>
      <w:r>
        <w:rPr>
          <w:i/>
          <w:vertAlign w:val="subscript"/>
        </w:rPr>
        <w:t>c,j</w:t>
      </w:r>
      <w:r>
        <w:rPr>
          <w:vertAlign w:val="subscript"/>
        </w:rPr>
        <w:t xml:space="preserve">) </w:t>
      </w:r>
      <w:r>
        <w:t xml:space="preserve">such that </w:t>
      </w:r>
      <w:r>
        <w:rPr>
          <w:i/>
        </w:rPr>
        <w:t xml:space="preserve">j </w:t>
      </w:r>
      <w:r>
        <w:t xml:space="preserve">∈ </w:t>
      </w:r>
      <w:r>
        <w:t>[</w:t>
      </w:r>
      <w:r>
        <w:rPr>
          <w:i/>
        </w:rPr>
        <w:t xml:space="preserve">i,i </w:t>
      </w:r>
      <w:r>
        <w:t xml:space="preserve">+ </w:t>
      </w:r>
      <w:r>
        <w:rPr>
          <w:i/>
        </w:rPr>
        <w:t>w</w:t>
      </w:r>
      <w:r>
        <w:t>) for the assayed sequence contexts on the corresponding genomic strand (</w:t>
      </w:r>
      <w:r>
        <w:rPr>
          <w:i/>
        </w:rPr>
        <w:t xml:space="preserve">see </w:t>
      </w:r>
      <w:r>
        <w:rPr>
          <w:b/>
        </w:rPr>
        <w:t xml:space="preserve">Note </w:t>
      </w:r>
      <w:r>
        <w:rPr>
          <w:b/>
          <w:color w:val="E4322B"/>
        </w:rPr>
        <w:t>14</w:t>
      </w:r>
      <w:r>
        <w:t xml:space="preserve">). We usually use a </w:t>
      </w:r>
      <w:r>
        <w:lastRenderedPageBreak/>
        <w:t xml:space="preserve">Beta prior </w:t>
      </w:r>
      <w:r>
        <w:rPr>
          <w:i/>
        </w:rPr>
        <w:t>B</w:t>
      </w:r>
      <w:r>
        <w:t>(</w:t>
      </w:r>
      <w:r>
        <w:rPr>
          <w:i/>
        </w:rPr>
        <w:t>α</w:t>
      </w:r>
      <w:r>
        <w:t>,</w:t>
      </w:r>
      <w:r>
        <w:rPr>
          <w:i/>
        </w:rPr>
        <w:t>β</w:t>
      </w:r>
      <w:r>
        <w:t xml:space="preserve">), with </w:t>
      </w:r>
      <w:r>
        <w:rPr>
          <w:i/>
        </w:rPr>
        <w:t xml:space="preserve">α </w:t>
      </w:r>
      <w:r>
        <w:t xml:space="preserve">= </w:t>
      </w:r>
      <w:r>
        <w:rPr>
          <w:i/>
        </w:rPr>
        <w:t xml:space="preserve">β </w:t>
      </w:r>
      <w:r>
        <w:t xml:space="preserve">= 10, which is updated based on each probability </w:t>
      </w:r>
      <w:r>
        <w:rPr>
          <w:i/>
        </w:rPr>
        <w:t>p</w:t>
      </w:r>
      <w:r>
        <w:rPr>
          <w:i/>
          <w:vertAlign w:val="subscript"/>
        </w:rPr>
        <w:t>r,</w:t>
      </w:r>
      <w:r>
        <w:rPr>
          <w:vertAlign w:val="subscript"/>
        </w:rPr>
        <w:t>(</w:t>
      </w:r>
      <w:r>
        <w:rPr>
          <w:i/>
          <w:vertAlign w:val="subscript"/>
        </w:rPr>
        <w:t>c,j</w:t>
      </w:r>
      <w:r>
        <w:rPr>
          <w:vertAlign w:val="subscript"/>
        </w:rPr>
        <w:t xml:space="preserve">) </w:t>
      </w:r>
      <w:r>
        <w:t xml:space="preserve">for all </w:t>
      </w:r>
      <w:r>
        <w:rPr>
          <w:i/>
        </w:rPr>
        <w:t xml:space="preserve">j </w:t>
      </w:r>
      <w:r>
        <w:t xml:space="preserve">∈ </w:t>
      </w:r>
      <w:r>
        <w:t>[</w:t>
      </w:r>
      <w:r>
        <w:rPr>
          <w:i/>
        </w:rPr>
        <w:t xml:space="preserve">i,i </w:t>
      </w:r>
      <w:r>
        <w:t xml:space="preserve">+ </w:t>
      </w:r>
      <w:r>
        <w:rPr>
          <w:i/>
        </w:rPr>
        <w:t>w</w:t>
      </w:r>
      <w:r>
        <w:t xml:space="preserve">) (but the prior can be easily changed if necessary, see below), in order to obtain a final accessibility score </w:t>
      </w:r>
      <w:r>
        <w:rPr>
          <w:i/>
        </w:rPr>
        <w:t>p</w:t>
      </w:r>
      <w:r>
        <w:rPr>
          <w:i/>
          <w:vertAlign w:val="subscript"/>
        </w:rPr>
        <w:t>r,</w:t>
      </w:r>
      <w:r>
        <w:rPr>
          <w:vertAlign w:val="subscript"/>
        </w:rPr>
        <w:t>(</w:t>
      </w:r>
      <w:r>
        <w:rPr>
          <w:i/>
          <w:vertAlign w:val="subscript"/>
        </w:rPr>
        <w:t>c,i,i</w:t>
      </w:r>
      <w:r>
        <w:rPr>
          <w:vertAlign w:val="subscript"/>
        </w:rPr>
        <w:t>+</w:t>
      </w:r>
      <w:r>
        <w:rPr>
          <w:i/>
          <w:vertAlign w:val="subscript"/>
        </w:rPr>
        <w:t>w</w:t>
      </w:r>
      <w:r>
        <w:rPr>
          <w:vertAlign w:val="subscript"/>
        </w:rPr>
        <w:t xml:space="preserve">) </w:t>
      </w:r>
      <w:r>
        <w:t xml:space="preserve">for read </w:t>
      </w:r>
      <w:r>
        <w:rPr>
          <w:i/>
        </w:rPr>
        <w:t xml:space="preserve">r </w:t>
      </w:r>
      <w:r>
        <w:t xml:space="preserve">and window </w:t>
      </w:r>
      <w:r>
        <w:rPr>
          <w:i/>
        </w:rPr>
        <w:t xml:space="preserve">c,i,i </w:t>
      </w:r>
      <w:r>
        <w:t xml:space="preserve">+ </w:t>
      </w:r>
      <w:r>
        <w:rPr>
          <w:i/>
        </w:rPr>
        <w:t>w</w:t>
      </w:r>
      <w:r>
        <w:t>.</w:t>
      </w:r>
    </w:p>
    <w:p w:rsidR="003A0C2F" w:rsidRDefault="00F166FB">
      <w:pPr>
        <w:spacing w:after="80" w:line="245" w:lineRule="auto"/>
        <w:ind w:left="2083" w:right="561" w:firstLine="0"/>
        <w:jc w:val="left"/>
      </w:pPr>
      <w:r>
        <w:t>This Bayseian integration calculation is also carried out using the same</w:t>
      </w:r>
      <w:r>
        <w:t xml:space="preserve"> </w:t>
      </w:r>
      <w:r>
        <w:rPr>
          <w:rFonts w:ascii="Calibri" w:eastAsia="Calibri" w:hAnsi="Calibri" w:cs="Calibri"/>
        </w:rPr>
        <w:t xml:space="preserve">methylation-reads-tsv-to_coverage.py </w:t>
      </w:r>
      <w:r>
        <w:t>script. For efficiency of calculation, compute it in parallel on the individual converted tombo files, as follows (for a 10-bp context and (10,10) prior):</w:t>
      </w:r>
    </w:p>
    <w:p w:rsidR="003A0C2F" w:rsidRDefault="00F166FB">
      <w:pPr>
        <w:spacing w:after="27" w:line="248" w:lineRule="auto"/>
        <w:ind w:left="2108" w:right="538"/>
        <w:jc w:val="left"/>
      </w:pPr>
      <w:r>
        <w:rPr>
          <w:rFonts w:ascii="Calibri" w:eastAsia="Calibri" w:hAnsi="Calibri" w:cs="Calibri"/>
        </w:rPr>
        <w:t>python methylation-reads-tsv-to_coverage.py</w:t>
      </w:r>
    </w:p>
    <w:p w:rsidR="003A0C2F" w:rsidRDefault="00F166FB">
      <w:pPr>
        <w:spacing w:after="5" w:line="248" w:lineRule="auto"/>
        <w:ind w:left="2302" w:right="538"/>
        <w:jc w:val="left"/>
      </w:pPr>
      <w:r>
        <w:rPr>
          <w:rFonts w:ascii="Calibri" w:eastAsia="Calibri" w:hAnsi="Calibri" w:cs="Calibri"/>
        </w:rPr>
        <w:t>0.tombo 0.5</w:t>
      </w:r>
    </w:p>
    <w:p w:rsidR="003A0C2F" w:rsidRDefault="00F166FB">
      <w:pPr>
        <w:spacing w:after="27" w:line="248" w:lineRule="auto"/>
        <w:ind w:left="2302" w:right="538"/>
        <w:jc w:val="left"/>
      </w:pPr>
      <w:r>
        <w:rPr>
          <w:rFonts w:ascii="Calibri" w:eastAsia="Calibri" w:hAnsi="Calibri" w:cs="Calibri"/>
        </w:rPr>
        <w:t>0.tombo</w:t>
      </w:r>
      <w:r>
        <w:rPr>
          <w:rFonts w:ascii="Calibri" w:eastAsia="Calibri" w:hAnsi="Calibri" w:cs="Calibri"/>
        </w:rPr>
        <w:t>.all0.cutoff_0.5.coverage.BI_w10_a10_b10</w:t>
      </w:r>
    </w:p>
    <w:p w:rsidR="003A0C2F" w:rsidRDefault="00F166FB">
      <w:pPr>
        <w:spacing w:after="5" w:line="248" w:lineRule="auto"/>
        <w:ind w:left="2302" w:right="538"/>
        <w:jc w:val="left"/>
      </w:pPr>
      <w:r>
        <w:rPr>
          <w:rFonts w:ascii="Calibri" w:eastAsia="Calibri" w:hAnsi="Calibri" w:cs="Calibri"/>
        </w:rPr>
        <w:t>-minAbsPValue 0.4 -BayesianIntegration 10 1 10 10 50</w:t>
      </w:r>
    </w:p>
    <w:p w:rsidR="003A0C2F" w:rsidRDefault="00F166FB">
      <w:pPr>
        <w:spacing w:after="5" w:line="248" w:lineRule="auto"/>
        <w:ind w:left="2302" w:right="538"/>
        <w:jc w:val="left"/>
      </w:pPr>
      <w:r>
        <w:rPr>
          <w:rFonts w:ascii="Calibri" w:eastAsia="Calibri" w:hAnsi="Calibri" w:cs="Calibri"/>
        </w:rPr>
        <w:t>-saveNewSingleMoleculeFile</w:t>
      </w:r>
    </w:p>
    <w:p w:rsidR="003A0C2F" w:rsidRDefault="00F166FB">
      <w:pPr>
        <w:spacing w:after="0" w:line="528" w:lineRule="auto"/>
        <w:ind w:left="2098" w:right="2825" w:firstLine="209"/>
      </w:pPr>
      <w:r>
        <w:rPr>
          <w:rFonts w:ascii="Calibri" w:eastAsia="Calibri" w:hAnsi="Calibri" w:cs="Calibri"/>
        </w:rPr>
        <w:t xml:space="preserve">0.tombo.BI_w10_a10_b10.reads.tsv </w:t>
      </w:r>
      <w:r>
        <w:t>Merge the Bayesian integration files:</w:t>
      </w:r>
    </w:p>
    <w:p w:rsidR="003A0C2F" w:rsidRDefault="00F166FB">
      <w:pPr>
        <w:spacing w:after="5" w:line="248" w:lineRule="auto"/>
        <w:ind w:left="2108" w:right="538"/>
        <w:jc w:val="left"/>
      </w:pPr>
      <w:r>
        <w:rPr>
          <w:rFonts w:ascii="Calibri" w:eastAsia="Calibri" w:hAnsi="Calibri" w:cs="Calibri"/>
        </w:rPr>
        <w:t>cat *tombo.BI_w10_a10_b10.reads.tsv</w:t>
      </w:r>
    </w:p>
    <w:p w:rsidR="003A0C2F" w:rsidRDefault="00F166FB">
      <w:pPr>
        <w:spacing w:after="5" w:line="248" w:lineRule="auto"/>
        <w:ind w:left="2302" w:right="538"/>
        <w:jc w:val="left"/>
      </w:pPr>
      <w:r>
        <w:rPr>
          <w:rFonts w:ascii="Calibri" w:eastAsia="Calibri" w:hAnsi="Calibri" w:cs="Calibri"/>
        </w:rPr>
        <w:t>| sort -k1,1 -k2,2n -k3,3n</w:t>
      </w:r>
    </w:p>
    <w:p w:rsidR="003A0C2F" w:rsidRDefault="00F166FB">
      <w:pPr>
        <w:spacing w:after="161" w:line="259" w:lineRule="auto"/>
        <w:ind w:left="2083" w:right="1046" w:firstLine="209"/>
      </w:pPr>
      <w:r>
        <w:rPr>
          <w:rFonts w:ascii="Calibri" w:eastAsia="Calibri" w:hAnsi="Calibri" w:cs="Calibri"/>
        </w:rPr>
        <w:t xml:space="preserve">| bgzip &gt; merged.BI_w10_a10_b10.reads.tsv.bgz </w:t>
      </w:r>
      <w:r>
        <w:t xml:space="preserve">Then </w:t>
      </w:r>
      <w:r>
        <w:rPr>
          <w:rFonts w:ascii="Calibri" w:eastAsia="Calibri" w:hAnsi="Calibri" w:cs="Calibri"/>
        </w:rPr>
        <w:t>tabix</w:t>
      </w:r>
      <w:r>
        <w:t xml:space="preserve">-index the resulting </w:t>
      </w:r>
      <w:r>
        <w:rPr>
          <w:rFonts w:ascii="Calibri" w:eastAsia="Calibri" w:hAnsi="Calibri" w:cs="Calibri"/>
        </w:rPr>
        <w:t xml:space="preserve">.bgz </w:t>
      </w:r>
      <w:r>
        <w:t xml:space="preserve">file: </w:t>
      </w:r>
      <w:r>
        <w:rPr>
          <w:rFonts w:ascii="Calibri" w:eastAsia="Calibri" w:hAnsi="Calibri" w:cs="Calibri"/>
        </w:rPr>
        <w:t>tabix -s 1 -b 2 -e 3 merged.BI_w10_a10_b10.reads.tsv.bgz</w:t>
      </w:r>
    </w:p>
    <w:tbl>
      <w:tblPr>
        <w:tblStyle w:val="TableGrid"/>
        <w:tblW w:w="8821" w:type="dxa"/>
        <w:tblInd w:w="0" w:type="dxa"/>
        <w:tblCellMar>
          <w:top w:w="0" w:type="dxa"/>
          <w:left w:w="0" w:type="dxa"/>
          <w:bottom w:w="0" w:type="dxa"/>
          <w:right w:w="0" w:type="dxa"/>
        </w:tblCellMar>
        <w:tblLook w:val="04A0" w:firstRow="1" w:lastRow="0" w:firstColumn="1" w:lastColumn="0" w:noHBand="0" w:noVBand="1"/>
      </w:tblPr>
      <w:tblGrid>
        <w:gridCol w:w="700"/>
        <w:gridCol w:w="1397"/>
        <w:gridCol w:w="6724"/>
      </w:tblGrid>
      <w:tr w:rsidR="003A0C2F">
        <w:trPr>
          <w:trHeight w:val="164"/>
        </w:trPr>
        <w:tc>
          <w:tcPr>
            <w:tcW w:w="700" w:type="dxa"/>
            <w:tcBorders>
              <w:top w:val="nil"/>
              <w:left w:val="nil"/>
              <w:bottom w:val="nil"/>
              <w:right w:val="nil"/>
            </w:tcBorders>
          </w:tcPr>
          <w:p w:rsidR="003A0C2F" w:rsidRDefault="00F166FB">
            <w:pPr>
              <w:spacing w:after="0" w:line="259" w:lineRule="auto"/>
              <w:ind w:left="0" w:right="0" w:firstLine="0"/>
              <w:jc w:val="left"/>
            </w:pPr>
            <w:r>
              <w:rPr>
                <w:b/>
              </w:rPr>
              <w:t>3.9.9</w:t>
            </w:r>
          </w:p>
        </w:tc>
        <w:tc>
          <w:tcPr>
            <w:tcW w:w="139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Filtering</w:t>
            </w:r>
          </w:p>
        </w:tc>
        <w:tc>
          <w:tcPr>
            <w:tcW w:w="6724"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3649"/>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7"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fully methylated reads</w:t>
            </w:r>
          </w:p>
        </w:tc>
        <w:tc>
          <w:tcPr>
            <w:tcW w:w="6724" w:type="dxa"/>
            <w:tcBorders>
              <w:top w:val="nil"/>
              <w:left w:val="nil"/>
              <w:bottom w:val="nil"/>
              <w:right w:val="nil"/>
            </w:tcBorders>
          </w:tcPr>
          <w:p w:rsidR="003A0C2F" w:rsidRDefault="00F166FB">
            <w:pPr>
              <w:spacing w:after="100"/>
              <w:ind w:left="0" w:right="544" w:firstLine="0"/>
            </w:pPr>
            <w:r>
              <w:t>On occasions, we observe a population of reads that appear as fully m</w:t>
            </w:r>
            <w:r>
              <w:t>ethylated across their whole length or over large segments of it. They are most likely derived from dead cells or represent some other undesired artifact. In order to remove such potentially artifactual reads, we obtain a “filtered” read set by removing al</w:t>
            </w:r>
            <w:r>
              <w:t xml:space="preserve">l reads containing a </w:t>
            </w:r>
            <w:r>
              <w:t>≥</w:t>
            </w:r>
            <w:r>
              <w:t xml:space="preserve">1-kbp stretch that is </w:t>
            </w:r>
            <w:r>
              <w:t>≥</w:t>
            </w:r>
            <w:r>
              <w:t>75% methylated (while also filtering out reads shorter than 1 kb).</w:t>
            </w:r>
          </w:p>
          <w:p w:rsidR="003A0C2F" w:rsidRDefault="00F166FB">
            <w:pPr>
              <w:spacing w:after="72" w:line="251" w:lineRule="auto"/>
              <w:ind w:left="0" w:right="0" w:firstLine="0"/>
            </w:pPr>
            <w:r>
              <w:t xml:space="preserve">This operation can be carried out using the </w:t>
            </w:r>
            <w:r>
              <w:rPr>
                <w:rFonts w:ascii="Calibri" w:eastAsia="Calibri" w:hAnsi="Calibri" w:cs="Calibri"/>
              </w:rPr>
              <w:t xml:space="preserve">filterFullyMethylatedReads.py </w:t>
            </w:r>
            <w:r>
              <w:t>script as follows:</w:t>
            </w:r>
          </w:p>
          <w:p w:rsidR="003A0C2F" w:rsidRDefault="00F166FB">
            <w:pPr>
              <w:spacing w:after="0" w:line="236" w:lineRule="auto"/>
              <w:ind w:left="209" w:right="343" w:hanging="209"/>
              <w:jc w:val="left"/>
            </w:pPr>
            <w:r>
              <w:rPr>
                <w:rFonts w:ascii="Calibri" w:eastAsia="Calibri" w:hAnsi="Calibri" w:cs="Calibri"/>
              </w:rPr>
              <w:t>python filterFullyMethylatedReads.py methylation_reads_all.tsv WindowSize minFraction [-keepShort] [-missingBasesFilter genome.fa basecontexts(comma-separated) minFraction</w:t>
            </w:r>
          </w:p>
          <w:p w:rsidR="003A0C2F" w:rsidRDefault="00F166FB">
            <w:pPr>
              <w:spacing w:after="0" w:line="259" w:lineRule="auto"/>
              <w:ind w:left="209" w:right="0" w:firstLine="0"/>
              <w:jc w:val="left"/>
            </w:pPr>
            <w:r>
              <w:rPr>
                <w:rFonts w:ascii="Calibri" w:eastAsia="Calibri" w:hAnsi="Calibri" w:cs="Calibri"/>
              </w:rPr>
              <w:t>[-doMBFSet]]</w:t>
            </w:r>
          </w:p>
        </w:tc>
      </w:tr>
      <w:tr w:rsidR="003A0C2F">
        <w:trPr>
          <w:trHeight w:val="376"/>
        </w:trPr>
        <w:tc>
          <w:tcPr>
            <w:tcW w:w="700" w:type="dxa"/>
            <w:tcBorders>
              <w:top w:val="nil"/>
              <w:left w:val="nil"/>
              <w:bottom w:val="nil"/>
              <w:right w:val="nil"/>
            </w:tcBorders>
            <w:vAlign w:val="bottom"/>
          </w:tcPr>
          <w:p w:rsidR="003A0C2F" w:rsidRDefault="00F166FB">
            <w:pPr>
              <w:spacing w:after="0" w:line="259" w:lineRule="auto"/>
              <w:ind w:left="0" w:right="0" w:firstLine="0"/>
              <w:jc w:val="left"/>
            </w:pPr>
            <w:r>
              <w:rPr>
                <w:b/>
              </w:rPr>
              <w:t>3.9.10</w:t>
            </w:r>
          </w:p>
        </w:tc>
        <w:tc>
          <w:tcPr>
            <w:tcW w:w="1397" w:type="dxa"/>
            <w:tcBorders>
              <w:top w:val="nil"/>
              <w:left w:val="nil"/>
              <w:bottom w:val="nil"/>
              <w:right w:val="nil"/>
            </w:tcBorders>
            <w:vAlign w:val="bottom"/>
          </w:tcPr>
          <w:p w:rsidR="003A0C2F" w:rsidRDefault="00F166FB">
            <w:pPr>
              <w:spacing w:after="0" w:line="259" w:lineRule="auto"/>
              <w:ind w:left="115" w:right="0" w:firstLine="0"/>
              <w:jc w:val="left"/>
            </w:pPr>
            <w:r>
              <w:rPr>
                <w:rFonts w:ascii="Calibri" w:eastAsia="Calibri" w:hAnsi="Calibri" w:cs="Calibri"/>
                <w:i/>
              </w:rPr>
              <w:t>Create</w:t>
            </w:r>
          </w:p>
        </w:tc>
        <w:tc>
          <w:tcPr>
            <w:tcW w:w="6724"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730"/>
        </w:trPr>
        <w:tc>
          <w:tcPr>
            <w:tcW w:w="700" w:type="dxa"/>
            <w:tcBorders>
              <w:top w:val="nil"/>
              <w:left w:val="nil"/>
              <w:bottom w:val="nil"/>
              <w:right w:val="nil"/>
            </w:tcBorders>
          </w:tcPr>
          <w:p w:rsidR="003A0C2F" w:rsidRDefault="003A0C2F">
            <w:pPr>
              <w:spacing w:after="160" w:line="259" w:lineRule="auto"/>
              <w:ind w:left="0" w:right="0" w:firstLine="0"/>
              <w:jc w:val="left"/>
            </w:pPr>
          </w:p>
        </w:tc>
        <w:tc>
          <w:tcPr>
            <w:tcW w:w="1397" w:type="dxa"/>
            <w:tcBorders>
              <w:top w:val="nil"/>
              <w:left w:val="nil"/>
              <w:bottom w:val="nil"/>
              <w:right w:val="nil"/>
            </w:tcBorders>
          </w:tcPr>
          <w:p w:rsidR="003A0C2F" w:rsidRDefault="00F166FB">
            <w:pPr>
              <w:spacing w:after="0" w:line="259" w:lineRule="auto"/>
              <w:ind w:left="115" w:right="0" w:firstLine="0"/>
              <w:jc w:val="left"/>
            </w:pPr>
            <w:r>
              <w:rPr>
                <w:rFonts w:ascii="Calibri" w:eastAsia="Calibri" w:hAnsi="Calibri" w:cs="Calibri"/>
                <w:i/>
              </w:rPr>
              <w:t>genome browser tracks</w:t>
            </w:r>
          </w:p>
        </w:tc>
        <w:tc>
          <w:tcPr>
            <w:tcW w:w="6724" w:type="dxa"/>
            <w:tcBorders>
              <w:top w:val="nil"/>
              <w:left w:val="nil"/>
              <w:bottom w:val="nil"/>
              <w:right w:val="nil"/>
            </w:tcBorders>
          </w:tcPr>
          <w:p w:rsidR="003A0C2F" w:rsidRDefault="00F166FB">
            <w:pPr>
              <w:spacing w:after="0" w:line="259" w:lineRule="auto"/>
              <w:ind w:left="0" w:right="544" w:firstLine="0"/>
            </w:pPr>
            <w:r>
              <w:t>In order to create average-methylation (and thus accessibility) tracks that can be visualized on a genome browser such the UCSC or the WashU ones, use the following script:</w:t>
            </w:r>
          </w:p>
        </w:tc>
      </w:tr>
    </w:tbl>
    <w:p w:rsidR="003A0C2F" w:rsidRDefault="00F166FB">
      <w:pPr>
        <w:spacing w:after="80" w:line="245" w:lineRule="auto"/>
        <w:ind w:left="2302" w:right="561" w:hanging="219"/>
        <w:jc w:val="left"/>
      </w:pPr>
      <w:r>
        <w:rPr>
          <w:rFonts w:ascii="Calibri" w:eastAsia="Calibri" w:hAnsi="Calibri" w:cs="Calibri"/>
        </w:rPr>
        <w:t xml:space="preserve">python coverage_to_wig.py coverage.bgz window step chrField MfieldID UfieldID chrom.sizes outprefix [-minCov N_reads] </w:t>
      </w:r>
      <w:r>
        <w:t xml:space="preserve">Where the </w:t>
      </w:r>
      <w:r>
        <w:rPr>
          <w:rFonts w:ascii="Calibri" w:eastAsia="Calibri" w:hAnsi="Calibri" w:cs="Calibri"/>
        </w:rPr>
        <w:t xml:space="preserve">M </w:t>
      </w:r>
      <w:r>
        <w:t xml:space="preserve">and the </w:t>
      </w:r>
      <w:r>
        <w:rPr>
          <w:rFonts w:ascii="Calibri" w:eastAsia="Calibri" w:hAnsi="Calibri" w:cs="Calibri"/>
        </w:rPr>
        <w:t xml:space="preserve">U </w:t>
      </w:r>
      <w:r>
        <w:t xml:space="preserve">fields indicate the column IDs of the numbers of methyllated and </w:t>
      </w:r>
      <w:r>
        <w:lastRenderedPageBreak/>
        <w:t xml:space="preserve">unmethylated reads, respectively, and the </w:t>
      </w:r>
      <w:r>
        <w:rPr>
          <w:rFonts w:ascii="Calibri" w:eastAsia="Calibri" w:hAnsi="Calibri" w:cs="Calibri"/>
        </w:rPr>
        <w:t xml:space="preserve">window </w:t>
      </w:r>
      <w:r>
        <w:t>an</w:t>
      </w:r>
      <w:r>
        <w:t xml:space="preserve">d </w:t>
      </w:r>
      <w:r>
        <w:rPr>
          <w:rFonts w:ascii="Calibri" w:eastAsia="Calibri" w:hAnsi="Calibri" w:cs="Calibri"/>
        </w:rPr>
        <w:t xml:space="preserve">step </w:t>
      </w:r>
      <w:r>
        <w:t>parameters specify the width and the stride used for averaging the signal (i.e. window of 50 and step of 5 means that the average methylation level over 50 bp windows tiling the genome every 5 bp will be outputted).</w:t>
      </w:r>
    </w:p>
    <w:p w:rsidR="003A0C2F" w:rsidRDefault="00F166FB">
      <w:pPr>
        <w:spacing w:after="267"/>
        <w:ind w:left="2108" w:right="725"/>
      </w:pPr>
      <w:r>
        <w:t xml:space="preserve">This script will output two </w:t>
      </w:r>
      <w:r>
        <w:rPr>
          <w:rFonts w:ascii="Calibri" w:eastAsia="Calibri" w:hAnsi="Calibri" w:cs="Calibri"/>
        </w:rPr>
        <w:t>bedGr</w:t>
      </w:r>
      <w:r>
        <w:rPr>
          <w:rFonts w:ascii="Calibri" w:eastAsia="Calibri" w:hAnsi="Calibri" w:cs="Calibri"/>
        </w:rPr>
        <w:t xml:space="preserve">aph </w:t>
      </w:r>
      <w:r>
        <w:t xml:space="preserve">files – a </w:t>
      </w:r>
      <w:r>
        <w:rPr>
          <w:rFonts w:ascii="Calibri" w:eastAsia="Calibri" w:hAnsi="Calibri" w:cs="Calibri"/>
        </w:rPr>
        <w:t xml:space="preserve">coverage.wig </w:t>
      </w:r>
      <w:r>
        <w:t xml:space="preserve">one (which contains the number of reads covering a position) and a </w:t>
      </w:r>
      <w:r>
        <w:rPr>
          <w:rFonts w:ascii="Calibri" w:eastAsia="Calibri" w:hAnsi="Calibri" w:cs="Calibri"/>
        </w:rPr>
        <w:t xml:space="preserve">meth.wig </w:t>
      </w:r>
      <w:r>
        <w:t xml:space="preserve">one (which contains the fraction of methylated reads). These can then be converted into </w:t>
      </w:r>
      <w:r>
        <w:rPr>
          <w:rFonts w:ascii="Calibri" w:eastAsia="Calibri" w:hAnsi="Calibri" w:cs="Calibri"/>
        </w:rPr>
        <w:t xml:space="preserve">bigWig </w:t>
      </w:r>
      <w:r>
        <w:t>files that can in turn be displayed on a genome browser us</w:t>
      </w:r>
      <w:r>
        <w:t xml:space="preserve">ing the </w:t>
      </w:r>
      <w:r>
        <w:rPr>
          <w:rFonts w:ascii="Calibri" w:eastAsia="Calibri" w:hAnsi="Calibri" w:cs="Calibri"/>
        </w:rPr>
        <w:t xml:space="preserve">wigToBigWig </w:t>
      </w:r>
      <w:r>
        <w:t>program from the UCSC utilities:</w:t>
      </w:r>
    </w:p>
    <w:p w:rsidR="003A0C2F" w:rsidRDefault="00F166FB">
      <w:pPr>
        <w:spacing w:after="292" w:line="248" w:lineRule="auto"/>
        <w:ind w:left="1062" w:right="1584"/>
        <w:jc w:val="center"/>
      </w:pPr>
      <w:r>
        <w:rPr>
          <w:rFonts w:ascii="Calibri" w:eastAsia="Calibri" w:hAnsi="Calibri" w:cs="Calibri"/>
        </w:rPr>
        <w:t>wigToBigWig meth.wig chrom.sizes meth.wig</w:t>
      </w:r>
    </w:p>
    <w:p w:rsidR="003A0C2F" w:rsidRDefault="00F166FB">
      <w:pPr>
        <w:ind w:left="2108" w:right="725"/>
      </w:pPr>
      <w:r>
        <w:t xml:space="preserve">Where the </w:t>
      </w:r>
      <w:r>
        <w:rPr>
          <w:rFonts w:ascii="Calibri" w:eastAsia="Calibri" w:hAnsi="Calibri" w:cs="Calibri"/>
        </w:rPr>
        <w:t xml:space="preserve">chrom.sizes </w:t>
      </w:r>
      <w:r>
        <w:t>files contains one line per chromosomes including the chromosome name and its length in bp (tab-separated).</w:t>
      </w:r>
    </w:p>
    <w:p w:rsidR="003A0C2F" w:rsidRDefault="00F166FB">
      <w:pPr>
        <w:spacing w:after="3"/>
        <w:ind w:left="2108" w:right="725"/>
      </w:pPr>
      <w:r>
        <w:t>An example of an average SMAC-s</w:t>
      </w:r>
      <w:r>
        <w:t xml:space="preserve">eq profile is shown in Figure </w:t>
      </w:r>
      <w:r>
        <w:rPr>
          <w:color w:val="E4322B"/>
        </w:rPr>
        <w:t>5</w:t>
      </w:r>
      <w:r>
        <w:t>.</w:t>
      </w:r>
    </w:p>
    <w:p w:rsidR="003A0C2F" w:rsidRDefault="00F166FB">
      <w:pPr>
        <w:spacing w:after="241" w:line="259" w:lineRule="auto"/>
        <w:ind w:left="170" w:right="0" w:firstLine="0"/>
        <w:jc w:val="left"/>
      </w:pPr>
      <w:r>
        <w:rPr>
          <w:noProof/>
        </w:rPr>
        <w:drawing>
          <wp:inline distT="0" distB="0" distL="0" distR="0">
            <wp:extent cx="5040161" cy="1785262"/>
            <wp:effectExtent l="0" t="0" r="0" b="0"/>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42"/>
                    <a:stretch>
                      <a:fillRect/>
                    </a:stretch>
                  </pic:blipFill>
                  <pic:spPr>
                    <a:xfrm>
                      <a:off x="0" y="0"/>
                      <a:ext cx="5040161" cy="1785262"/>
                    </a:xfrm>
                    <a:prstGeom prst="rect">
                      <a:avLst/>
                    </a:prstGeom>
                  </pic:spPr>
                </pic:pic>
              </a:graphicData>
            </a:graphic>
          </wp:inline>
        </w:drawing>
      </w:r>
    </w:p>
    <w:p w:rsidR="003A0C2F" w:rsidRDefault="00F166FB">
      <w:pPr>
        <w:spacing w:after="387" w:line="263" w:lineRule="auto"/>
        <w:ind w:left="-15" w:firstLine="0"/>
      </w:pPr>
      <w:r>
        <w:rPr>
          <w:b/>
        </w:rPr>
        <w:t xml:space="preserve">Fig. 5: </w:t>
      </w:r>
      <w:r>
        <w:rPr>
          <w:b/>
          <w:sz w:val="18"/>
        </w:rPr>
        <w:t>Examples of average m</w:t>
      </w:r>
      <w:r>
        <w:rPr>
          <w:sz w:val="18"/>
          <w:vertAlign w:val="superscript"/>
        </w:rPr>
        <w:t>6</w:t>
      </w:r>
      <w:r>
        <w:rPr>
          <w:b/>
          <w:sz w:val="18"/>
        </w:rPr>
        <w:t>A-CpG-GpC-SMAC-seq profiles visualized on the UCSC Genome Browser</w:t>
      </w:r>
      <w:r>
        <w:rPr>
          <w:sz w:val="18"/>
        </w:rPr>
        <w:t>. Shown is a subtelomeric regions on chrXVI. SMAC-seq signal provides information both about accessible open chromatin measures (peaks in DNAse-seq data) and positioned nucleosomes. The latter are shown here in the form of H4S47C chemical nucleosome mappin</w:t>
      </w:r>
      <w:r>
        <w:rPr>
          <w:sz w:val="18"/>
        </w:rPr>
        <w:t>g [</w:t>
      </w:r>
      <w:r>
        <w:rPr>
          <w:color w:val="422874"/>
          <w:sz w:val="18"/>
        </w:rPr>
        <w:t>35</w:t>
      </w:r>
      <w:r>
        <w:rPr>
          <w:sz w:val="18"/>
        </w:rPr>
        <w:t>], which maps the positions of dyads (SMAC-seq signal is enriched on nucleosome linkers, thus the inverse relationship between the two). SMAC-seq, being a long-read assay, also provides information about repetitive regions of the genome (in this case,</w:t>
      </w:r>
      <w:r>
        <w:rPr>
          <w:sz w:val="18"/>
        </w:rPr>
        <w:t xml:space="preserve"> telomeres, which are not uniquely mappable with short reads as shown by the 36-mer unique mappability track).</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815"/>
        <w:gridCol w:w="1283"/>
        <w:gridCol w:w="6179"/>
      </w:tblGrid>
      <w:tr w:rsidR="003A0C2F">
        <w:trPr>
          <w:trHeight w:val="164"/>
        </w:trPr>
        <w:tc>
          <w:tcPr>
            <w:tcW w:w="815" w:type="dxa"/>
            <w:tcBorders>
              <w:top w:val="nil"/>
              <w:left w:val="nil"/>
              <w:bottom w:val="nil"/>
              <w:right w:val="nil"/>
            </w:tcBorders>
          </w:tcPr>
          <w:p w:rsidR="003A0C2F" w:rsidRDefault="00F166FB">
            <w:pPr>
              <w:spacing w:after="0" w:line="259" w:lineRule="auto"/>
              <w:ind w:left="0" w:right="0" w:firstLine="0"/>
              <w:jc w:val="left"/>
            </w:pPr>
            <w:r>
              <w:rPr>
                <w:b/>
              </w:rPr>
              <w:t>3.9.11</w:t>
            </w:r>
          </w:p>
        </w:tc>
        <w:tc>
          <w:tcPr>
            <w:tcW w:w="1283"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Making</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1360"/>
        </w:trPr>
        <w:tc>
          <w:tcPr>
            <w:tcW w:w="815" w:type="dxa"/>
            <w:tcBorders>
              <w:top w:val="nil"/>
              <w:left w:val="nil"/>
              <w:bottom w:val="nil"/>
              <w:right w:val="nil"/>
            </w:tcBorders>
          </w:tcPr>
          <w:p w:rsidR="003A0C2F" w:rsidRDefault="003A0C2F">
            <w:pPr>
              <w:spacing w:after="160" w:line="259" w:lineRule="auto"/>
              <w:ind w:left="0" w:right="0" w:firstLine="0"/>
              <w:jc w:val="left"/>
            </w:pPr>
          </w:p>
        </w:tc>
        <w:tc>
          <w:tcPr>
            <w:tcW w:w="1283" w:type="dxa"/>
            <w:tcBorders>
              <w:top w:val="nil"/>
              <w:left w:val="nil"/>
              <w:bottom w:val="nil"/>
              <w:right w:val="nil"/>
            </w:tcBorders>
          </w:tcPr>
          <w:p w:rsidR="003A0C2F" w:rsidRDefault="00F166FB">
            <w:pPr>
              <w:spacing w:after="0" w:line="236" w:lineRule="auto"/>
              <w:ind w:left="0" w:right="0" w:firstLine="0"/>
              <w:jc w:val="left"/>
            </w:pPr>
            <w:r>
              <w:rPr>
                <w:rFonts w:ascii="Calibri" w:eastAsia="Calibri" w:hAnsi="Calibri" w:cs="Calibri"/>
                <w:i/>
              </w:rPr>
              <w:t>metaplots around a</w:t>
            </w:r>
          </w:p>
          <w:p w:rsidR="003A0C2F" w:rsidRDefault="00F166FB">
            <w:pPr>
              <w:spacing w:after="0" w:line="259" w:lineRule="auto"/>
              <w:ind w:left="0" w:right="0" w:firstLine="0"/>
              <w:jc w:val="left"/>
            </w:pPr>
            <w:r>
              <w:rPr>
                <w:rFonts w:ascii="Calibri" w:eastAsia="Calibri" w:hAnsi="Calibri" w:cs="Calibri"/>
                <w:i/>
              </w:rPr>
              <w:t>position</w:t>
            </w:r>
          </w:p>
        </w:tc>
        <w:tc>
          <w:tcPr>
            <w:tcW w:w="6180" w:type="dxa"/>
            <w:tcBorders>
              <w:top w:val="nil"/>
              <w:left w:val="nil"/>
              <w:bottom w:val="nil"/>
              <w:right w:val="nil"/>
            </w:tcBorders>
          </w:tcPr>
          <w:p w:rsidR="003A0C2F" w:rsidRDefault="00F166FB">
            <w:pPr>
              <w:spacing w:after="0" w:line="259" w:lineRule="auto"/>
              <w:ind w:left="0" w:right="0" w:firstLine="0"/>
            </w:pPr>
            <w:r>
              <w:t xml:space="preserve">A common analysis task is to generate a metaplot around a given set of genomic features (such as TSSs, positioned nucleosomes, TF binding motifs, and others). The </w:t>
            </w:r>
            <w:r>
              <w:rPr>
                <w:rFonts w:ascii="Calibri" w:eastAsia="Calibri" w:hAnsi="Calibri" w:cs="Calibri"/>
              </w:rPr>
              <w:t xml:space="preserve">coverage.bgz </w:t>
            </w:r>
            <w:r>
              <w:t>can be used to make such metaplots, as follows, with a variety of parameters (wi</w:t>
            </w:r>
            <w:r>
              <w:t>ndow size, minimal coverage per position, different input file formats, stranded or unstranded, and others):</w:t>
            </w:r>
          </w:p>
        </w:tc>
      </w:tr>
    </w:tbl>
    <w:p w:rsidR="003A0C2F" w:rsidRDefault="00F166FB">
      <w:pPr>
        <w:spacing w:after="5" w:line="248" w:lineRule="auto"/>
        <w:ind w:left="2108" w:right="538"/>
        <w:jc w:val="left"/>
      </w:pPr>
      <w:r>
        <w:rPr>
          <w:rFonts w:ascii="Calibri" w:eastAsia="Calibri" w:hAnsi="Calibri" w:cs="Calibri"/>
        </w:rPr>
        <w:t>python signalAroundPeaks-nano.py inputfilename chrFieldID</w:t>
      </w:r>
    </w:p>
    <w:p w:rsidR="003A0C2F" w:rsidRDefault="00F166FB">
      <w:pPr>
        <w:spacing w:after="5" w:line="248" w:lineRule="auto"/>
        <w:ind w:left="2212" w:right="538"/>
        <w:jc w:val="left"/>
      </w:pPr>
      <w:r>
        <w:rPr>
          <w:rFonts w:ascii="Calibri" w:eastAsia="Calibri" w:hAnsi="Calibri" w:cs="Calibri"/>
        </w:rPr>
        <w:t>posField strandField radius window coverage.bgz outputfilename [-bismark.cov] [-bed] [-minCov N]</w:t>
      </w:r>
    </w:p>
    <w:p w:rsidR="003A0C2F" w:rsidRDefault="00F166FB">
      <w:pPr>
        <w:spacing w:after="261" w:line="248" w:lineRule="auto"/>
        <w:ind w:left="2212" w:right="538"/>
        <w:jc w:val="left"/>
      </w:pPr>
      <w:r>
        <w:rPr>
          <w:rFonts w:ascii="Calibri" w:eastAsia="Calibri" w:hAnsi="Calibri" w:cs="Calibri"/>
        </w:rPr>
        <w:t>[-unstranded] [-narrowPeak]</w:t>
      </w:r>
    </w:p>
    <w:p w:rsidR="003A0C2F" w:rsidRDefault="00F166FB">
      <w:pPr>
        <w:spacing w:after="11"/>
        <w:ind w:left="2108" w:right="725"/>
      </w:pPr>
      <w:r>
        <w:lastRenderedPageBreak/>
        <w:t xml:space="preserve">Examples of such plots around yeast transcription starts sites and human occupied CTCF motifs are shown in Figure </w:t>
      </w:r>
      <w:r>
        <w:rPr>
          <w:color w:val="E4322B"/>
        </w:rPr>
        <w:t>6</w:t>
      </w:r>
      <w:r>
        <w:t>.</w:t>
      </w:r>
    </w:p>
    <w:p w:rsidR="003A0C2F" w:rsidRDefault="00F166FB">
      <w:pPr>
        <w:spacing w:after="241" w:line="259" w:lineRule="auto"/>
        <w:ind w:left="170" w:right="0" w:firstLine="0"/>
        <w:jc w:val="left"/>
      </w:pPr>
      <w:r>
        <w:rPr>
          <w:noProof/>
        </w:rPr>
        <w:drawing>
          <wp:inline distT="0" distB="0" distL="0" distR="0">
            <wp:extent cx="5040078" cy="1740490"/>
            <wp:effectExtent l="0" t="0" r="0" b="0"/>
            <wp:docPr id="1994"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43"/>
                    <a:stretch>
                      <a:fillRect/>
                    </a:stretch>
                  </pic:blipFill>
                  <pic:spPr>
                    <a:xfrm>
                      <a:off x="0" y="0"/>
                      <a:ext cx="5040078" cy="1740490"/>
                    </a:xfrm>
                    <a:prstGeom prst="rect">
                      <a:avLst/>
                    </a:prstGeom>
                  </pic:spPr>
                </pic:pic>
              </a:graphicData>
            </a:graphic>
          </wp:inline>
        </w:drawing>
      </w:r>
    </w:p>
    <w:p w:rsidR="003A0C2F" w:rsidRDefault="00F166FB">
      <w:pPr>
        <w:spacing w:after="387" w:line="263" w:lineRule="auto"/>
        <w:ind w:left="-15" w:firstLine="0"/>
      </w:pPr>
      <w:r>
        <w:rPr>
          <w:b/>
        </w:rPr>
        <w:t xml:space="preserve">Fig. 6: </w:t>
      </w:r>
      <w:r>
        <w:rPr>
          <w:b/>
          <w:sz w:val="18"/>
        </w:rPr>
        <w:t>Exam</w:t>
      </w:r>
      <w:r>
        <w:rPr>
          <w:b/>
          <w:sz w:val="18"/>
        </w:rPr>
        <w:t>ples of average SMAC-seq metaprofiles over predefined genomic features</w:t>
      </w:r>
      <w:r>
        <w:rPr>
          <w:sz w:val="18"/>
        </w:rPr>
        <w:t>. (A and B) Average m</w:t>
      </w:r>
      <w:r>
        <w:rPr>
          <w:sz w:val="18"/>
          <w:vertAlign w:val="superscript"/>
        </w:rPr>
        <w:t>6</w:t>
      </w:r>
      <w:r>
        <w:rPr>
          <w:sz w:val="18"/>
        </w:rPr>
        <w:t xml:space="preserve">-CpG-GpC SMAC-seq profiles for the top 20% and bottom 20% of genes (ranked by expression levels) in </w:t>
      </w:r>
      <w:r>
        <w:rPr>
          <w:i/>
          <w:sz w:val="18"/>
        </w:rPr>
        <w:t>S. cerevisiae</w:t>
      </w:r>
      <w:r>
        <w:rPr>
          <w:sz w:val="18"/>
        </w:rPr>
        <w:t>. Profiles are split by modification channel. (C) A</w:t>
      </w:r>
      <w:r>
        <w:rPr>
          <w:sz w:val="18"/>
        </w:rPr>
        <w:t>verage m</w:t>
      </w:r>
      <w:r>
        <w:rPr>
          <w:sz w:val="18"/>
          <w:vertAlign w:val="superscript"/>
        </w:rPr>
        <w:t>6</w:t>
      </w:r>
      <w:r>
        <w:rPr>
          <w:sz w:val="18"/>
        </w:rPr>
        <w:t>-SMAC-seq profile around CTCF ChIP-seq peaks in the human GM12878 cell line. CTCF is known to strongly position nucleosomes in the vicinity of its occupancy sites [</w:t>
      </w:r>
      <w:r>
        <w:rPr>
          <w:color w:val="422874"/>
          <w:sz w:val="18"/>
        </w:rPr>
        <w:t>36</w:t>
      </w:r>
      <w:r>
        <w:rPr>
          <w:sz w:val="18"/>
        </w:rPr>
        <w:t>]. ChIP-seq peaks were obtained from the ENCODE Project Consortium [</w:t>
      </w:r>
      <w:r>
        <w:rPr>
          <w:color w:val="422874"/>
          <w:sz w:val="18"/>
        </w:rPr>
        <w:t>29</w:t>
      </w:r>
      <w:r>
        <w:rPr>
          <w:sz w:val="18"/>
        </w:rPr>
        <w:t>].</w:t>
      </w:r>
    </w:p>
    <w:tbl>
      <w:tblPr>
        <w:tblStyle w:val="TableGrid"/>
        <w:tblW w:w="8277" w:type="dxa"/>
        <w:tblInd w:w="0" w:type="dxa"/>
        <w:tblCellMar>
          <w:top w:w="0" w:type="dxa"/>
          <w:left w:w="0" w:type="dxa"/>
          <w:bottom w:w="0" w:type="dxa"/>
          <w:right w:w="0" w:type="dxa"/>
        </w:tblCellMar>
        <w:tblLook w:val="04A0" w:firstRow="1" w:lastRow="0" w:firstColumn="1" w:lastColumn="0" w:noHBand="0" w:noVBand="1"/>
      </w:tblPr>
      <w:tblGrid>
        <w:gridCol w:w="815"/>
        <w:gridCol w:w="1283"/>
        <w:gridCol w:w="6179"/>
      </w:tblGrid>
      <w:tr w:rsidR="003A0C2F">
        <w:trPr>
          <w:trHeight w:val="164"/>
        </w:trPr>
        <w:tc>
          <w:tcPr>
            <w:tcW w:w="815" w:type="dxa"/>
            <w:tcBorders>
              <w:top w:val="nil"/>
              <w:left w:val="nil"/>
              <w:bottom w:val="nil"/>
              <w:right w:val="nil"/>
            </w:tcBorders>
          </w:tcPr>
          <w:p w:rsidR="003A0C2F" w:rsidRDefault="00F166FB">
            <w:pPr>
              <w:spacing w:after="0" w:line="259" w:lineRule="auto"/>
              <w:ind w:left="0" w:right="0" w:firstLine="0"/>
              <w:jc w:val="left"/>
            </w:pPr>
            <w:r>
              <w:rPr>
                <w:b/>
              </w:rPr>
              <w:t>3.9.12</w:t>
            </w:r>
          </w:p>
        </w:tc>
        <w:tc>
          <w:tcPr>
            <w:tcW w:w="1283"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Making</w:t>
            </w:r>
          </w:p>
        </w:tc>
        <w:tc>
          <w:tcPr>
            <w:tcW w:w="6180" w:type="dxa"/>
            <w:tcBorders>
              <w:top w:val="nil"/>
              <w:left w:val="nil"/>
              <w:bottom w:val="nil"/>
              <w:right w:val="nil"/>
            </w:tcBorders>
          </w:tcPr>
          <w:p w:rsidR="003A0C2F" w:rsidRDefault="003A0C2F">
            <w:pPr>
              <w:spacing w:after="160" w:line="259" w:lineRule="auto"/>
              <w:ind w:left="0" w:right="0" w:firstLine="0"/>
              <w:jc w:val="left"/>
            </w:pPr>
          </w:p>
        </w:tc>
      </w:tr>
      <w:tr w:rsidR="003A0C2F">
        <w:trPr>
          <w:trHeight w:val="1359"/>
        </w:trPr>
        <w:tc>
          <w:tcPr>
            <w:tcW w:w="815" w:type="dxa"/>
            <w:tcBorders>
              <w:top w:val="nil"/>
              <w:left w:val="nil"/>
              <w:bottom w:val="nil"/>
              <w:right w:val="nil"/>
            </w:tcBorders>
          </w:tcPr>
          <w:p w:rsidR="003A0C2F" w:rsidRDefault="003A0C2F">
            <w:pPr>
              <w:spacing w:after="160" w:line="259" w:lineRule="auto"/>
              <w:ind w:left="0" w:right="0" w:firstLine="0"/>
              <w:jc w:val="left"/>
            </w:pPr>
          </w:p>
        </w:tc>
        <w:tc>
          <w:tcPr>
            <w:tcW w:w="1283" w:type="dxa"/>
            <w:tcBorders>
              <w:top w:val="nil"/>
              <w:left w:val="nil"/>
              <w:bottom w:val="nil"/>
              <w:right w:val="nil"/>
            </w:tcBorders>
          </w:tcPr>
          <w:p w:rsidR="003A0C2F" w:rsidRDefault="00F166FB">
            <w:pPr>
              <w:spacing w:after="0" w:line="259" w:lineRule="auto"/>
              <w:ind w:left="0" w:right="0" w:firstLine="0"/>
              <w:jc w:val="left"/>
            </w:pPr>
            <w:r>
              <w:rPr>
                <w:rFonts w:ascii="Calibri" w:eastAsia="Calibri" w:hAnsi="Calibri" w:cs="Calibri"/>
                <w:i/>
              </w:rPr>
              <w:t>single molecule plots</w:t>
            </w:r>
          </w:p>
        </w:tc>
        <w:tc>
          <w:tcPr>
            <w:tcW w:w="6180" w:type="dxa"/>
            <w:tcBorders>
              <w:top w:val="nil"/>
              <w:left w:val="nil"/>
              <w:bottom w:val="nil"/>
              <w:right w:val="nil"/>
            </w:tcBorders>
          </w:tcPr>
          <w:p w:rsidR="003A0C2F" w:rsidRDefault="00F166FB">
            <w:pPr>
              <w:spacing w:after="0" w:line="259" w:lineRule="auto"/>
              <w:ind w:left="0" w:right="0" w:firstLine="0"/>
            </w:pPr>
            <w:r>
              <w:t>One of the two key strengths of SMAC-seq is the ability to analyze accessibility at the single molecule level. There are many ways to do that, due to the non-binary nature of raw nanopore data and of the long length of nanop</w:t>
            </w:r>
            <w:r>
              <w:t>ore reads, which allows/requires analysis at different resolution levels. Single molecule maps can be generated using the continuous modification probability values or they can be binarized.</w:t>
            </w:r>
          </w:p>
        </w:tc>
      </w:tr>
    </w:tbl>
    <w:p w:rsidR="003A0C2F" w:rsidRDefault="00F166FB">
      <w:pPr>
        <w:spacing w:after="68"/>
        <w:ind w:left="2108" w:right="240"/>
      </w:pPr>
      <w:r>
        <w:t xml:space="preserve">The </w:t>
      </w:r>
      <w:r>
        <w:rPr>
          <w:rFonts w:ascii="Calibri" w:eastAsia="Calibri" w:hAnsi="Calibri" w:cs="Calibri"/>
        </w:rPr>
        <w:t xml:space="preserve">SMAC-footprints-from-methylation-reads-tsv-tabix.py </w:t>
      </w:r>
      <w:r>
        <w:t xml:space="preserve">and </w:t>
      </w:r>
      <w:r>
        <w:rPr>
          <w:rFonts w:ascii="Calibri" w:eastAsia="Calibri" w:hAnsi="Calibri" w:cs="Calibri"/>
        </w:rPr>
        <w:t xml:space="preserve">SMAC-footprints-from-methylation-reads-tsv-tabix-kmeans.py </w:t>
      </w:r>
      <w:r>
        <w:t xml:space="preserve">scripts can be used to generate such plots. The first script will apply hierarchical clustering while the second one will use </w:t>
      </w:r>
      <w:r>
        <w:rPr>
          <w:i/>
        </w:rPr>
        <w:t>k</w:t>
      </w:r>
      <w:r>
        <w:t xml:space="preserve">-means (in our experience, we obtain decidedly better results using the </w:t>
      </w:r>
      <w:r>
        <w:rPr>
          <w:i/>
        </w:rPr>
        <w:t>k</w:t>
      </w:r>
      <w:r>
        <w:t xml:space="preserve">-means approach). The commands are otherwise the same. There is a wide variety of options regarding the input list of region (which can be in any format), the display (averaging over </w:t>
      </w:r>
      <w:r>
        <w:t>arbitrary number of basepairs), subsampling of reads, color schemes, binarization or continuous display, and others:</w:t>
      </w:r>
    </w:p>
    <w:p w:rsidR="003A0C2F" w:rsidRDefault="00F166FB">
      <w:pPr>
        <w:spacing w:after="5" w:line="248" w:lineRule="auto"/>
        <w:ind w:left="2108" w:right="538"/>
        <w:jc w:val="left"/>
      </w:pPr>
      <w:r>
        <w:rPr>
          <w:rFonts w:ascii="Calibri" w:eastAsia="Calibri" w:hAnsi="Calibri" w:cs="Calibri"/>
        </w:rPr>
        <w:t>python methylation_reads_all.tsv peak_list chrFieldID</w:t>
      </w:r>
    </w:p>
    <w:p w:rsidR="003A0C2F" w:rsidRDefault="00F166FB">
      <w:pPr>
        <w:spacing w:after="5" w:line="248" w:lineRule="auto"/>
        <w:ind w:left="2302" w:right="1375"/>
        <w:jc w:val="left"/>
      </w:pPr>
      <w:r>
        <w:rPr>
          <w:rFonts w:ascii="Calibri" w:eastAsia="Calibri" w:hAnsi="Calibri" w:cs="Calibri"/>
        </w:rPr>
        <w:t>leftFieldID rightFieldID strandFieldID tabix_path outfile_prefix [-resize factor] [-s</w:t>
      </w:r>
      <w:r>
        <w:rPr>
          <w:rFonts w:ascii="Calibri" w:eastAsia="Calibri" w:hAnsi="Calibri" w:cs="Calibri"/>
        </w:rPr>
        <w:t>ubset N] [-label fieldID] [-minCov fraction]</w:t>
      </w:r>
    </w:p>
    <w:p w:rsidR="003A0C2F" w:rsidRDefault="00F166FB">
      <w:pPr>
        <w:spacing w:after="12" w:line="248" w:lineRule="auto"/>
        <w:ind w:left="1062" w:right="1166"/>
        <w:jc w:val="center"/>
      </w:pPr>
      <w:r>
        <w:rPr>
          <w:rFonts w:ascii="Calibri" w:eastAsia="Calibri" w:hAnsi="Calibri" w:cs="Calibri"/>
        </w:rPr>
        <w:t>[-minPassingBases fraction] [-minReads N]</w:t>
      </w:r>
    </w:p>
    <w:p w:rsidR="003A0C2F" w:rsidRDefault="00F166FB">
      <w:pPr>
        <w:spacing w:after="12" w:line="248" w:lineRule="auto"/>
        <w:ind w:left="1062" w:right="1584"/>
        <w:jc w:val="center"/>
      </w:pPr>
      <w:r>
        <w:rPr>
          <w:rFonts w:ascii="Calibri" w:eastAsia="Calibri" w:hAnsi="Calibri" w:cs="Calibri"/>
        </w:rPr>
        <w:t>[-unstranded] [-minAbsLogLike float]</w:t>
      </w:r>
    </w:p>
    <w:p w:rsidR="003A0C2F" w:rsidRDefault="00F166FB">
      <w:pPr>
        <w:spacing w:after="5" w:line="248" w:lineRule="auto"/>
        <w:ind w:left="2302" w:right="538"/>
        <w:jc w:val="left"/>
      </w:pPr>
      <w:r>
        <w:rPr>
          <w:rFonts w:ascii="Calibri" w:eastAsia="Calibri" w:hAnsi="Calibri" w:cs="Calibri"/>
        </w:rPr>
        <w:t>[-scatterPlot colorscheme minScore maxScore color|none]</w:t>
      </w:r>
    </w:p>
    <w:p w:rsidR="003A0C2F" w:rsidRDefault="00F166FB">
      <w:pPr>
        <w:spacing w:after="5" w:line="248" w:lineRule="auto"/>
        <w:ind w:left="2302" w:right="538"/>
        <w:jc w:val="left"/>
      </w:pPr>
      <w:r>
        <w:rPr>
          <w:rFonts w:ascii="Calibri" w:eastAsia="Calibri" w:hAnsi="Calibri" w:cs="Calibri"/>
        </w:rPr>
        <w:t>[-window bp] [-readStrand +|-]</w:t>
      </w:r>
    </w:p>
    <w:p w:rsidR="003A0C2F" w:rsidRDefault="00F166FB">
      <w:pPr>
        <w:spacing w:after="265" w:line="248" w:lineRule="auto"/>
        <w:ind w:left="2302" w:right="538"/>
        <w:jc w:val="left"/>
      </w:pPr>
      <w:r>
        <w:rPr>
          <w:rFonts w:ascii="Calibri" w:eastAsia="Calibri" w:hAnsi="Calibri" w:cs="Calibri"/>
        </w:rPr>
        <w:t>[-printMatrix] [-deleteMatrix] [-binarize threshold]’</w:t>
      </w:r>
    </w:p>
    <w:p w:rsidR="003A0C2F" w:rsidRDefault="00F166FB">
      <w:pPr>
        <w:spacing w:after="270"/>
        <w:ind w:left="2108" w:right="725"/>
      </w:pPr>
      <w:r>
        <w:lastRenderedPageBreak/>
        <w:t>The following command will generate binarized single molecule maps retaining only reads that completely span the input set of regions, averaging over 10bp windows:</w:t>
      </w:r>
    </w:p>
    <w:p w:rsidR="003A0C2F" w:rsidRDefault="00F166FB">
      <w:pPr>
        <w:spacing w:after="5" w:line="248" w:lineRule="auto"/>
        <w:ind w:left="2108" w:right="0"/>
        <w:jc w:val="left"/>
      </w:pPr>
      <w:r>
        <w:rPr>
          <w:rFonts w:ascii="Calibri" w:eastAsia="Calibri" w:hAnsi="Calibri" w:cs="Calibri"/>
        </w:rPr>
        <w:t>python SMAC-footprints-from-methylatio</w:t>
      </w:r>
      <w:r>
        <w:rPr>
          <w:rFonts w:ascii="Calibri" w:eastAsia="Calibri" w:hAnsi="Calibri" w:cs="Calibri"/>
        </w:rPr>
        <w:t>n-reads-tsv-tabix-kmeans.py</w:t>
      </w:r>
    </w:p>
    <w:p w:rsidR="003A0C2F" w:rsidRDefault="00F166FB">
      <w:pPr>
        <w:spacing w:after="5" w:line="248" w:lineRule="auto"/>
        <w:ind w:left="2302" w:right="538"/>
        <w:jc w:val="left"/>
      </w:pPr>
      <w:r>
        <w:rPr>
          <w:rFonts w:ascii="Calibri" w:eastAsia="Calibri" w:hAnsi="Calibri" w:cs="Calibri"/>
        </w:rPr>
        <w:t>SMAC-seq.reads.tsv.bgz regions.bed 0 1 2 3 tabix</w:t>
      </w:r>
    </w:p>
    <w:p w:rsidR="003A0C2F" w:rsidRDefault="00F166FB">
      <w:pPr>
        <w:spacing w:after="5" w:line="248" w:lineRule="auto"/>
        <w:ind w:left="2302" w:right="1584"/>
        <w:jc w:val="left"/>
      </w:pPr>
      <w:r>
        <w:rPr>
          <w:rFonts w:ascii="Calibri" w:eastAsia="Calibri" w:hAnsi="Calibri" w:cs="Calibri"/>
        </w:rPr>
        <w:t>SMAC-seq.regions.binary-0.5-gist_heat.10bp -window 10 -minCov 1 -binarize 0.5</w:t>
      </w:r>
    </w:p>
    <w:p w:rsidR="003A0C2F" w:rsidRDefault="00F166FB">
      <w:pPr>
        <w:spacing w:after="271" w:line="248" w:lineRule="auto"/>
        <w:ind w:left="1062" w:right="1061"/>
        <w:jc w:val="center"/>
      </w:pPr>
      <w:r>
        <w:rPr>
          <w:rFonts w:ascii="Calibri" w:eastAsia="Calibri" w:hAnsi="Calibri" w:cs="Calibri"/>
        </w:rPr>
        <w:t>-scatterPlot gist_heat 0 1.1 w -unstranded</w:t>
      </w:r>
    </w:p>
    <w:p w:rsidR="003A0C2F" w:rsidRDefault="00F166FB">
      <w:pPr>
        <w:spacing w:after="73"/>
        <w:ind w:left="2108" w:right="725"/>
      </w:pPr>
      <w:r>
        <w:t>An example of such a single-molecule level visualization f</w:t>
      </w:r>
      <w:r>
        <w:t>or yeast m</w:t>
      </w:r>
      <w:r>
        <w:rPr>
          <w:vertAlign w:val="superscript"/>
        </w:rPr>
        <w:t>6</w:t>
      </w:r>
      <w:r>
        <w:t xml:space="preserve">ACpG-GpC-SMAC-seq data is shown in Figure </w:t>
      </w:r>
      <w:r>
        <w:rPr>
          <w:color w:val="E4322B"/>
        </w:rPr>
        <w:t>7</w:t>
      </w:r>
      <w:r>
        <w:t>A.</w:t>
      </w:r>
    </w:p>
    <w:p w:rsidR="003A0C2F" w:rsidRDefault="00F166FB">
      <w:pPr>
        <w:spacing w:after="270"/>
        <w:ind w:left="2108" w:right="725"/>
      </w:pPr>
      <w:r>
        <w:t>The following command will generate continuous-signal single molecule maps retaining only reads that completely span the input set of regions, averaging over 10bp windows:</w:t>
      </w:r>
    </w:p>
    <w:p w:rsidR="003A0C2F" w:rsidRDefault="00F166FB">
      <w:pPr>
        <w:spacing w:after="5" w:line="248" w:lineRule="auto"/>
        <w:ind w:left="2108" w:right="0"/>
        <w:jc w:val="left"/>
      </w:pPr>
      <w:r>
        <w:rPr>
          <w:rFonts w:ascii="Calibri" w:eastAsia="Calibri" w:hAnsi="Calibri" w:cs="Calibri"/>
        </w:rPr>
        <w:t>python SMAC-footprints-from</w:t>
      </w:r>
      <w:r>
        <w:rPr>
          <w:rFonts w:ascii="Calibri" w:eastAsia="Calibri" w:hAnsi="Calibri" w:cs="Calibri"/>
        </w:rPr>
        <w:t>-methylation-reads-tsv-tabix-kmeans.py</w:t>
      </w:r>
    </w:p>
    <w:p w:rsidR="003A0C2F" w:rsidRDefault="00F166FB">
      <w:pPr>
        <w:spacing w:after="5" w:line="248" w:lineRule="auto"/>
        <w:ind w:left="2302" w:right="538"/>
        <w:jc w:val="left"/>
      </w:pPr>
      <w:r>
        <w:rPr>
          <w:rFonts w:ascii="Calibri" w:eastAsia="Calibri" w:hAnsi="Calibri" w:cs="Calibri"/>
        </w:rPr>
        <w:t>SMAC-seq.reads.tsv.bgz regions.bed 0 1 2 3 tabix</w:t>
      </w:r>
    </w:p>
    <w:p w:rsidR="003A0C2F" w:rsidRDefault="00F166FB">
      <w:pPr>
        <w:spacing w:after="12" w:line="248" w:lineRule="auto"/>
        <w:ind w:left="1062" w:right="1375"/>
        <w:jc w:val="center"/>
      </w:pPr>
      <w:r>
        <w:rPr>
          <w:rFonts w:ascii="Calibri" w:eastAsia="Calibri" w:hAnsi="Calibri" w:cs="Calibri"/>
        </w:rPr>
        <w:t>SMAC-seq.regions.binary-0.5-RdYlBu.10bp</w:t>
      </w:r>
    </w:p>
    <w:p w:rsidR="003A0C2F" w:rsidRDefault="00F166FB">
      <w:pPr>
        <w:spacing w:after="5" w:line="248" w:lineRule="auto"/>
        <w:ind w:left="2302" w:right="538"/>
        <w:jc w:val="left"/>
      </w:pPr>
      <w:r>
        <w:rPr>
          <w:rFonts w:ascii="Calibri" w:eastAsia="Calibri" w:hAnsi="Calibri" w:cs="Calibri"/>
        </w:rPr>
        <w:t>-window 10 -minCov 1</w:t>
      </w:r>
    </w:p>
    <w:p w:rsidR="003A0C2F" w:rsidRDefault="00F166FB">
      <w:pPr>
        <w:spacing w:after="271" w:line="248" w:lineRule="auto"/>
        <w:ind w:left="1062" w:right="1584"/>
        <w:jc w:val="center"/>
      </w:pPr>
      <w:r>
        <w:rPr>
          <w:rFonts w:ascii="Calibri" w:eastAsia="Calibri" w:hAnsi="Calibri" w:cs="Calibri"/>
        </w:rPr>
        <w:t>-scatterPlot RdYlBu 0 1 w -unstranded</w:t>
      </w:r>
    </w:p>
    <w:p w:rsidR="003A0C2F" w:rsidRDefault="00F166FB">
      <w:pPr>
        <w:spacing w:after="185"/>
        <w:ind w:left="2108" w:right="725"/>
      </w:pPr>
      <w:r>
        <w:t>An example of such a single-molecule level visualization for yeast m</w:t>
      </w:r>
      <w:r>
        <w:rPr>
          <w:vertAlign w:val="superscript"/>
        </w:rPr>
        <w:t>6</w:t>
      </w:r>
      <w:r>
        <w:t xml:space="preserve">ACpG-GpC-SMAC-seq data is shown in Figure </w:t>
      </w:r>
      <w:r>
        <w:rPr>
          <w:color w:val="E4322B"/>
        </w:rPr>
        <w:t>7</w:t>
      </w:r>
      <w:r>
        <w:t>B.</w:t>
      </w:r>
    </w:p>
    <w:p w:rsidR="003A0C2F" w:rsidRDefault="00F166FB">
      <w:pPr>
        <w:pStyle w:val="Heading3"/>
        <w:tabs>
          <w:tab w:val="center" w:pos="1380"/>
        </w:tabs>
        <w:ind w:left="-15" w:firstLine="0"/>
      </w:pPr>
      <w:r>
        <w:rPr>
          <w:rFonts w:ascii="Cambria" w:eastAsia="Cambria" w:hAnsi="Cambria" w:cs="Cambria"/>
          <w:b/>
          <w:i w:val="0"/>
        </w:rPr>
        <w:t>3.9.13</w:t>
      </w:r>
      <w:r>
        <w:rPr>
          <w:rFonts w:ascii="Cambria" w:eastAsia="Cambria" w:hAnsi="Cambria" w:cs="Cambria"/>
          <w:b/>
          <w:i w:val="0"/>
        </w:rPr>
        <w:tab/>
      </w:r>
      <w:r>
        <w:t>Calculating</w:t>
      </w:r>
    </w:p>
    <w:p w:rsidR="003A0C2F" w:rsidRDefault="00F166FB">
      <w:pPr>
        <w:spacing w:after="20" w:line="305" w:lineRule="auto"/>
        <w:ind w:left="825" w:right="725"/>
      </w:pPr>
      <w:r>
        <w:rPr>
          <w:rFonts w:ascii="Calibri" w:eastAsia="Calibri" w:hAnsi="Calibri" w:cs="Calibri"/>
          <w:i/>
        </w:rPr>
        <w:t xml:space="preserve">NMI </w:t>
      </w:r>
      <w:r>
        <w:t xml:space="preserve">Finally, another common analysis task when working with SMAC-seq </w:t>
      </w:r>
      <w:r>
        <w:rPr>
          <w:rFonts w:ascii="Calibri" w:eastAsia="Calibri" w:hAnsi="Calibri" w:cs="Calibri"/>
          <w:i/>
        </w:rPr>
        <w:t xml:space="preserve">matrices </w:t>
      </w:r>
      <w:r>
        <w:t>data is to estimate the degree of single-molecule coaccessibility along the chromatin fiber.</w:t>
      </w:r>
    </w:p>
    <w:p w:rsidR="003A0C2F" w:rsidRDefault="00F166FB">
      <w:pPr>
        <w:ind w:left="2108" w:right="725"/>
      </w:pPr>
      <w:r>
        <w:t>To this end, we appl</w:t>
      </w:r>
      <w:r>
        <w:t xml:space="preserve">y a Normalized Mutual Information as follows. Each chromosome </w:t>
      </w:r>
      <w:r>
        <w:rPr>
          <w:i/>
        </w:rPr>
        <w:t xml:space="preserve">c </w:t>
      </w:r>
      <w:r>
        <w:t xml:space="preserve">is split into windows of size </w:t>
      </w:r>
      <w:r>
        <w:rPr>
          <w:i/>
        </w:rPr>
        <w:t>w</w:t>
      </w:r>
      <w:r>
        <w:t>. For each such window (</w:t>
      </w:r>
      <w:r>
        <w:rPr>
          <w:i/>
        </w:rPr>
        <w:t>c,i,i</w:t>
      </w:r>
      <w:r>
        <w:t>+</w:t>
      </w:r>
      <w:r>
        <w:rPr>
          <w:i/>
        </w:rPr>
        <w:t>w</w:t>
      </w:r>
      <w:r>
        <w:t>), the maximum range to the right of it, (</w:t>
      </w:r>
      <w:r>
        <w:rPr>
          <w:i/>
        </w:rPr>
        <w:t xml:space="preserve">c,j,j </w:t>
      </w:r>
      <w:r>
        <w:t>+</w:t>
      </w:r>
      <w:r>
        <w:rPr>
          <w:i/>
        </w:rPr>
        <w:t>w</w:t>
      </w:r>
      <w:r>
        <w:t>) such that the span (</w:t>
      </w:r>
      <w:r>
        <w:rPr>
          <w:i/>
        </w:rPr>
        <w:t xml:space="preserve">c,i,j </w:t>
      </w:r>
      <w:r>
        <w:t xml:space="preserve">+ </w:t>
      </w:r>
      <w:r>
        <w:rPr>
          <w:i/>
        </w:rPr>
        <w:t>w</w:t>
      </w:r>
      <w:r>
        <w:t xml:space="preserve">) is covered by </w:t>
      </w:r>
      <w:r>
        <w:t xml:space="preserve">≥ </w:t>
      </w:r>
      <w:r>
        <w:rPr>
          <w:i/>
        </w:rPr>
        <w:t xml:space="preserve">M </w:t>
      </w:r>
      <w:r>
        <w:t>reads, is identified. All reads spanning (</w:t>
      </w:r>
      <w:r>
        <w:rPr>
          <w:i/>
        </w:rPr>
        <w:t xml:space="preserve">c,i,j </w:t>
      </w:r>
      <w:r>
        <w:t xml:space="preserve">+ </w:t>
      </w:r>
      <w:r>
        <w:rPr>
          <w:i/>
        </w:rPr>
        <w:t>w</w:t>
      </w:r>
      <w:r>
        <w:t xml:space="preserve">) are then extracted and subsampled down to </w:t>
      </w:r>
      <w:r>
        <w:rPr>
          <w:i/>
        </w:rPr>
        <w:t xml:space="preserve">M </w:t>
      </w:r>
      <w:r>
        <w:t xml:space="preserve">reads (usually </w:t>
      </w:r>
      <w:r>
        <w:rPr>
          <w:i/>
        </w:rPr>
        <w:t xml:space="preserve">M </w:t>
      </w:r>
      <w:r>
        <w:t>= 100). Accessibility scores are then aggregated and binarized for all windows located in the span (</w:t>
      </w:r>
      <w:r>
        <w:rPr>
          <w:i/>
        </w:rPr>
        <w:t xml:space="preserve">c,i,j </w:t>
      </w:r>
      <w:r>
        <w:t>+</w:t>
      </w:r>
      <w:r>
        <w:rPr>
          <w:i/>
        </w:rPr>
        <w:t>w</w:t>
      </w:r>
      <w:r>
        <w:t xml:space="preserve">), and for all </w:t>
      </w:r>
      <w:r>
        <w:rPr>
          <w:i/>
        </w:rPr>
        <w:t xml:space="preserve">M </w:t>
      </w:r>
      <w:r>
        <w:t>reads fully spann</w:t>
      </w:r>
      <w:r>
        <w:t xml:space="preserve">ing it, resulting in a local co-accessibility matrix </w:t>
      </w:r>
      <w:r>
        <w:rPr>
          <w:i/>
        </w:rPr>
        <w:t xml:space="preserve">LCM </w:t>
      </w:r>
      <w:r>
        <w:t xml:space="preserve">of size </w:t>
      </w:r>
      <w:r>
        <w:rPr>
          <w:i/>
        </w:rPr>
        <w:t xml:space="preserve">M </w:t>
      </w:r>
      <w:r>
        <w:t xml:space="preserve">× </w:t>
      </w:r>
      <w:r>
        <w:t>(</w:t>
      </w:r>
      <w:r>
        <w:rPr>
          <w:i/>
        </w:rPr>
        <w:t xml:space="preserve">j </w:t>
      </w:r>
      <w:r>
        <w:t xml:space="preserve">+ </w:t>
      </w:r>
      <w:r>
        <w:rPr>
          <w:i/>
        </w:rPr>
        <w:t xml:space="preserve">w </w:t>
      </w:r>
      <w:r>
        <w:t>−</w:t>
      </w:r>
      <w:r>
        <w:t xml:space="preserve"> </w:t>
      </w:r>
      <w:r>
        <w:rPr>
          <w:i/>
        </w:rPr>
        <w:t>i</w:t>
      </w:r>
      <w:r>
        <w:t>)</w:t>
      </w:r>
      <w:r>
        <w:rPr>
          <w:i/>
        </w:rPr>
        <w:t>/w</w:t>
      </w:r>
      <w:r>
        <w:t xml:space="preserve">. A Normalized Mutual Information (NMI) score for each pair of columns </w:t>
      </w:r>
      <w:r>
        <w:rPr>
          <w:i/>
        </w:rPr>
        <w:t>LCM</w:t>
      </w:r>
      <w:r>
        <w:rPr>
          <w:i/>
          <w:vertAlign w:val="subscript"/>
        </w:rPr>
        <w:t xml:space="preserve">k </w:t>
      </w:r>
      <w:r>
        <w:t xml:space="preserve">and </w:t>
      </w:r>
      <w:r>
        <w:rPr>
          <w:i/>
        </w:rPr>
        <w:t>LCM</w:t>
      </w:r>
      <w:r>
        <w:rPr>
          <w:i/>
          <w:vertAlign w:val="subscript"/>
        </w:rPr>
        <w:t xml:space="preserve">l </w:t>
      </w:r>
      <w:r>
        <w:t>is then calculated as follows:</w:t>
      </w:r>
    </w:p>
    <w:p w:rsidR="003A0C2F" w:rsidRDefault="00F166FB">
      <w:pPr>
        <w:spacing w:after="241" w:line="259" w:lineRule="auto"/>
        <w:ind w:left="170" w:right="0" w:firstLine="0"/>
        <w:jc w:val="left"/>
      </w:pPr>
      <w:r>
        <w:rPr>
          <w:noProof/>
        </w:rPr>
        <w:lastRenderedPageBreak/>
        <w:drawing>
          <wp:inline distT="0" distB="0" distL="0" distR="0">
            <wp:extent cx="5040076" cy="4111262"/>
            <wp:effectExtent l="0" t="0" r="0" b="0"/>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44"/>
                    <a:stretch>
                      <a:fillRect/>
                    </a:stretch>
                  </pic:blipFill>
                  <pic:spPr>
                    <a:xfrm>
                      <a:off x="0" y="0"/>
                      <a:ext cx="5040076" cy="4111262"/>
                    </a:xfrm>
                    <a:prstGeom prst="rect">
                      <a:avLst/>
                    </a:prstGeom>
                  </pic:spPr>
                </pic:pic>
              </a:graphicData>
            </a:graphic>
          </wp:inline>
        </w:drawing>
      </w:r>
    </w:p>
    <w:p w:rsidR="003A0C2F" w:rsidRDefault="00F166FB">
      <w:pPr>
        <w:spacing w:after="2035" w:line="263" w:lineRule="auto"/>
        <w:ind w:left="-15" w:firstLine="0"/>
      </w:pPr>
      <w:r>
        <w:rPr>
          <w:b/>
        </w:rPr>
        <w:t xml:space="preserve">Fig. 7: </w:t>
      </w:r>
      <w:r>
        <w:rPr>
          <w:b/>
          <w:sz w:val="18"/>
        </w:rPr>
        <w:t>Examples of single molecule m</w:t>
      </w:r>
      <w:r>
        <w:rPr>
          <w:sz w:val="18"/>
          <w:vertAlign w:val="superscript"/>
        </w:rPr>
        <w:t>6</w:t>
      </w:r>
      <w:r>
        <w:rPr>
          <w:b/>
          <w:sz w:val="18"/>
        </w:rPr>
        <w:t>A-CpG-GpC-SMAC-seq</w:t>
      </w:r>
      <w:r>
        <w:rPr>
          <w:b/>
          <w:sz w:val="18"/>
        </w:rPr>
        <w:t xml:space="preserve"> maps in </w:t>
      </w:r>
      <w:r>
        <w:rPr>
          <w:rFonts w:ascii="Calibri" w:eastAsia="Calibri" w:hAnsi="Calibri" w:cs="Calibri"/>
          <w:i/>
          <w:sz w:val="18"/>
        </w:rPr>
        <w:t>S. cerevisiae</w:t>
      </w:r>
      <w:r>
        <w:rPr>
          <w:sz w:val="18"/>
        </w:rPr>
        <w:t>. Shown is the yeast rDNA locus, binarized (A) and as a continuous display (B). Yeast rDNA is organized into multicopy (∼150) arrays, consisting of ∼9.1 kb units, each containing a copy of the 35S precursor pre-rRNA, transcribed by Po</w:t>
      </w:r>
      <w:r>
        <w:rPr>
          <w:sz w:val="18"/>
        </w:rPr>
        <w:t>l I, a 5S RNA, transcribed by Pol III, and a replication origin ARS element, located in non-transcribed (NTS) regions of the array. The rDNA chromatin structure adopts two distinct conformations[</w:t>
      </w:r>
      <w:r>
        <w:rPr>
          <w:color w:val="422874"/>
          <w:sz w:val="18"/>
        </w:rPr>
        <w:t>37</w:t>
      </w:r>
      <w:r>
        <w:rPr>
          <w:sz w:val="18"/>
        </w:rPr>
        <w:t xml:space="preserve">, </w:t>
      </w:r>
      <w:r>
        <w:rPr>
          <w:color w:val="422874"/>
          <w:sz w:val="18"/>
        </w:rPr>
        <w:t>38</w:t>
      </w:r>
      <w:r>
        <w:rPr>
          <w:sz w:val="18"/>
        </w:rPr>
        <w:t>] – an inactive nucleosomal state and an extremely high</w:t>
      </w:r>
      <w:r>
        <w:rPr>
          <w:sz w:val="18"/>
        </w:rPr>
        <w:t>ly transcriptionally active, largely devoid of nucleosomes (and thus highly accessible) state. Note that 1,000 reads were sampled at random for each plot, and that different samplings are shown in (A) and (B).</w:t>
      </w:r>
    </w:p>
    <w:p w:rsidR="003A0C2F" w:rsidRDefault="00F166FB">
      <w:pPr>
        <w:spacing w:after="416" w:line="265" w:lineRule="auto"/>
        <w:ind w:left="3086"/>
        <w:jc w:val="right"/>
      </w:pPr>
      <w:r>
        <w:t>(1)</w:t>
      </w:r>
    </w:p>
    <w:p w:rsidR="003A0C2F" w:rsidRDefault="00F166FB">
      <w:pPr>
        <w:spacing w:after="0" w:line="259" w:lineRule="auto"/>
        <w:ind w:left="0" w:right="1774" w:firstLine="0"/>
        <w:jc w:val="right"/>
      </w:pPr>
      <w:r>
        <w:rPr>
          <w:noProof/>
        </w:rPr>
        <w:drawing>
          <wp:anchor distT="0" distB="0" distL="114300" distR="114300" simplePos="0" relativeHeight="251658240" behindDoc="0" locked="0" layoutInCell="1" allowOverlap="0">
            <wp:simplePos x="0" y="0"/>
            <wp:positionH relativeFrom="column">
              <wp:posOffset>1953401</wp:posOffset>
            </wp:positionH>
            <wp:positionV relativeFrom="paragraph">
              <wp:posOffset>-1319231</wp:posOffset>
            </wp:positionV>
            <wp:extent cx="2612136" cy="1679449"/>
            <wp:effectExtent l="0" t="0" r="0" b="0"/>
            <wp:wrapSquare wrapText="bothSides"/>
            <wp:docPr id="27383" name="Picture 27383"/>
            <wp:cNvGraphicFramePr/>
            <a:graphic xmlns:a="http://schemas.openxmlformats.org/drawingml/2006/main">
              <a:graphicData uri="http://schemas.openxmlformats.org/drawingml/2006/picture">
                <pic:pic xmlns:pic="http://schemas.openxmlformats.org/drawingml/2006/picture">
                  <pic:nvPicPr>
                    <pic:cNvPr id="27383" name="Picture 27383"/>
                    <pic:cNvPicPr/>
                  </pic:nvPicPr>
                  <pic:blipFill>
                    <a:blip r:embed="rId45"/>
                    <a:stretch>
                      <a:fillRect/>
                    </a:stretch>
                  </pic:blipFill>
                  <pic:spPr>
                    <a:xfrm>
                      <a:off x="0" y="0"/>
                      <a:ext cx="2612136" cy="1679449"/>
                    </a:xfrm>
                    <a:prstGeom prst="rect">
                      <a:avLst/>
                    </a:prstGeom>
                  </pic:spPr>
                </pic:pic>
              </a:graphicData>
            </a:graphic>
          </wp:anchor>
        </w:drawing>
      </w:r>
      <w:r>
        <w:t>!</w:t>
      </w:r>
    </w:p>
    <w:p w:rsidR="003A0C2F" w:rsidRDefault="00F166FB">
      <w:pPr>
        <w:spacing w:after="389"/>
        <w:ind w:left="2108" w:right="725"/>
      </w:pPr>
      <w:r>
        <w:t xml:space="preserve">While in principle mutual </w:t>
      </w:r>
      <w:r>
        <w:lastRenderedPageBreak/>
        <w:t>information cannot be negative, NMI scores are normalized and rescaled in the interval (</w:t>
      </w:r>
      <w:r>
        <w:t>−</w:t>
      </w:r>
      <w:r>
        <w:t>1</w:t>
      </w:r>
      <w:r>
        <w:rPr>
          <w:i/>
        </w:rPr>
        <w:t>,</w:t>
      </w:r>
      <w:r>
        <w:t>1) so that anti-correlated regions are given negative scores (this is done for visualization and interpretation purposes):</w:t>
      </w:r>
    </w:p>
    <w:p w:rsidR="003A0C2F" w:rsidRDefault="00F166FB">
      <w:pPr>
        <w:tabs>
          <w:tab w:val="center" w:pos="4287"/>
          <w:tab w:val="right" w:pos="9017"/>
        </w:tabs>
        <w:spacing w:after="0" w:line="265" w:lineRule="auto"/>
        <w:ind w:left="0" w:right="-15" w:firstLine="0"/>
        <w:jc w:val="left"/>
      </w:pPr>
      <w:r>
        <w:rPr>
          <w:rFonts w:ascii="Calibri" w:eastAsia="Calibri" w:hAnsi="Calibri" w:cs="Calibri"/>
          <w:sz w:val="22"/>
        </w:rPr>
        <w:tab/>
      </w:r>
      <w:r>
        <w:rPr>
          <w:noProof/>
        </w:rPr>
        <w:drawing>
          <wp:inline distT="0" distB="0" distL="0" distR="0">
            <wp:extent cx="2758440" cy="466344"/>
            <wp:effectExtent l="0" t="0" r="0" b="0"/>
            <wp:docPr id="27384" name="Picture 27384"/>
            <wp:cNvGraphicFramePr/>
            <a:graphic xmlns:a="http://schemas.openxmlformats.org/drawingml/2006/main">
              <a:graphicData uri="http://schemas.openxmlformats.org/drawingml/2006/picture">
                <pic:pic xmlns:pic="http://schemas.openxmlformats.org/drawingml/2006/picture">
                  <pic:nvPicPr>
                    <pic:cNvPr id="27384" name="Picture 27384"/>
                    <pic:cNvPicPr/>
                  </pic:nvPicPr>
                  <pic:blipFill>
                    <a:blip r:embed="rId46"/>
                    <a:stretch>
                      <a:fillRect/>
                    </a:stretch>
                  </pic:blipFill>
                  <pic:spPr>
                    <a:xfrm>
                      <a:off x="0" y="0"/>
                      <a:ext cx="2758440" cy="466344"/>
                    </a:xfrm>
                    <a:prstGeom prst="rect">
                      <a:avLst/>
                    </a:prstGeom>
                  </pic:spPr>
                </pic:pic>
              </a:graphicData>
            </a:graphic>
          </wp:inline>
        </w:drawing>
      </w:r>
      <w:r>
        <w:tab/>
        <w:t xml:space="preserve">for </w:t>
      </w:r>
      <w:r>
        <w:rPr>
          <w:i/>
        </w:rPr>
        <w:t>p</w:t>
      </w:r>
      <w:r>
        <w:t>(0</w:t>
      </w:r>
      <w:r>
        <w:rPr>
          <w:i/>
        </w:rPr>
        <w:t>,</w:t>
      </w:r>
      <w:r>
        <w:t xml:space="preserve">0) + </w:t>
      </w:r>
      <w:r>
        <w:rPr>
          <w:i/>
        </w:rPr>
        <w:t>p</w:t>
      </w:r>
      <w:r>
        <w:t>(1</w:t>
      </w:r>
      <w:r>
        <w:rPr>
          <w:i/>
        </w:rPr>
        <w:t>,</w:t>
      </w:r>
      <w:r>
        <w:t xml:space="preserve">1) </w:t>
      </w:r>
      <w:r>
        <w:t xml:space="preserve">≥ </w:t>
      </w:r>
      <w:r>
        <w:t>0</w:t>
      </w:r>
      <w:r>
        <w:rPr>
          <w:i/>
        </w:rPr>
        <w:t>.</w:t>
      </w:r>
      <w:r>
        <w:t>5</w:t>
      </w:r>
    </w:p>
    <w:p w:rsidR="003A0C2F" w:rsidRDefault="00F166FB">
      <w:pPr>
        <w:tabs>
          <w:tab w:val="center" w:pos="4645"/>
          <w:tab w:val="right" w:pos="9017"/>
        </w:tabs>
        <w:spacing w:after="0" w:line="265" w:lineRule="auto"/>
        <w:ind w:left="0" w:right="-15" w:firstLine="0"/>
        <w:jc w:val="left"/>
      </w:pPr>
      <w:r>
        <w:rPr>
          <w:rFonts w:ascii="Calibri" w:eastAsia="Calibri" w:hAnsi="Calibri" w:cs="Calibri"/>
          <w:sz w:val="22"/>
        </w:rPr>
        <w:tab/>
      </w:r>
      <w:r>
        <w:rPr>
          <w:noProof/>
        </w:rPr>
        <w:drawing>
          <wp:inline distT="0" distB="0" distL="0" distR="0">
            <wp:extent cx="2529840" cy="414528"/>
            <wp:effectExtent l="0" t="0" r="0" b="0"/>
            <wp:docPr id="27385" name="Picture 27385"/>
            <wp:cNvGraphicFramePr/>
            <a:graphic xmlns:a="http://schemas.openxmlformats.org/drawingml/2006/main">
              <a:graphicData uri="http://schemas.openxmlformats.org/drawingml/2006/picture">
                <pic:pic xmlns:pic="http://schemas.openxmlformats.org/drawingml/2006/picture">
                  <pic:nvPicPr>
                    <pic:cNvPr id="27385" name="Picture 27385"/>
                    <pic:cNvPicPr/>
                  </pic:nvPicPr>
                  <pic:blipFill>
                    <a:blip r:embed="rId47"/>
                    <a:stretch>
                      <a:fillRect/>
                    </a:stretch>
                  </pic:blipFill>
                  <pic:spPr>
                    <a:xfrm>
                      <a:off x="0" y="0"/>
                      <a:ext cx="2529840" cy="414528"/>
                    </a:xfrm>
                    <a:prstGeom prst="rect">
                      <a:avLst/>
                    </a:prstGeom>
                  </pic:spPr>
                </pic:pic>
              </a:graphicData>
            </a:graphic>
          </wp:inline>
        </w:drawing>
      </w:r>
      <w:r>
        <w:tab/>
        <w:t xml:space="preserve">for </w:t>
      </w:r>
      <w:r>
        <w:rPr>
          <w:i/>
        </w:rPr>
        <w:t>p</w:t>
      </w:r>
      <w:r>
        <w:t>(0</w:t>
      </w:r>
      <w:r>
        <w:rPr>
          <w:i/>
        </w:rPr>
        <w:t>,</w:t>
      </w:r>
      <w:r>
        <w:t xml:space="preserve">0) + </w:t>
      </w:r>
      <w:r>
        <w:rPr>
          <w:i/>
        </w:rPr>
        <w:t>p</w:t>
      </w:r>
      <w:r>
        <w:t>(1</w:t>
      </w:r>
      <w:r>
        <w:rPr>
          <w:i/>
        </w:rPr>
        <w:t>,</w:t>
      </w:r>
      <w:r>
        <w:t xml:space="preserve">1) </w:t>
      </w:r>
      <w:r>
        <w:rPr>
          <w:i/>
        </w:rPr>
        <w:t xml:space="preserve">&lt; </w:t>
      </w:r>
      <w:r>
        <w:t>0</w:t>
      </w:r>
      <w:r>
        <w:rPr>
          <w:i/>
        </w:rPr>
        <w:t>.</w:t>
      </w:r>
      <w:r>
        <w:t>5</w:t>
      </w:r>
    </w:p>
    <w:p w:rsidR="003A0C2F" w:rsidRDefault="00F166FB">
      <w:pPr>
        <w:spacing w:after="20" w:line="350" w:lineRule="auto"/>
        <w:ind w:left="2098" w:right="725" w:firstLine="5925"/>
      </w:pPr>
      <w:r>
        <w:t xml:space="preserve">(2) Where </w:t>
      </w:r>
      <w:r>
        <w:rPr>
          <w:i/>
        </w:rPr>
        <w:t xml:space="preserve">H </w:t>
      </w:r>
      <w:r>
        <w:t>refers to the entropy of each individual distribution.</w:t>
      </w:r>
    </w:p>
    <w:p w:rsidR="003A0C2F" w:rsidRDefault="00F166FB">
      <w:pPr>
        <w:spacing w:after="69"/>
        <w:ind w:left="2108" w:right="0"/>
      </w:pPr>
      <w:r>
        <w:t xml:space="preserve">To calculate NMI matrices, the </w:t>
      </w:r>
      <w:r>
        <w:rPr>
          <w:rFonts w:ascii="Calibri" w:eastAsia="Calibri" w:hAnsi="Calibri" w:cs="Calibri"/>
        </w:rPr>
        <w:t xml:space="preserve">SingleMoleculeCorrelation-NMI-matrix.py </w:t>
      </w:r>
      <w:r>
        <w:t>script can be used.</w:t>
      </w:r>
    </w:p>
    <w:p w:rsidR="003A0C2F" w:rsidRDefault="00F166FB">
      <w:pPr>
        <w:spacing w:after="5" w:line="248" w:lineRule="auto"/>
        <w:ind w:left="2108" w:right="538"/>
        <w:jc w:val="left"/>
      </w:pPr>
      <w:r>
        <w:rPr>
          <w:rFonts w:ascii="Calibri" w:eastAsia="Calibri" w:hAnsi="Calibri" w:cs="Calibri"/>
        </w:rPr>
        <w:t>python SingleMoleculeCorrelation-NMI-matrix.py</w:t>
      </w:r>
    </w:p>
    <w:p w:rsidR="003A0C2F" w:rsidRDefault="00F166FB">
      <w:pPr>
        <w:spacing w:after="5" w:line="248" w:lineRule="auto"/>
        <w:ind w:left="2202" w:right="1794" w:firstLine="105"/>
        <w:jc w:val="left"/>
      </w:pPr>
      <w:r>
        <w:rPr>
          <w:rFonts w:ascii="Calibri" w:eastAsia="Calibri" w:hAnsi="Calibri" w:cs="Calibri"/>
        </w:rPr>
        <w:t>SMAC-seq.</w:t>
      </w:r>
      <w:r>
        <w:rPr>
          <w:rFonts w:ascii="Calibri" w:eastAsia="Calibri" w:hAnsi="Calibri" w:cs="Calibri"/>
        </w:rPr>
        <w:t>reads.tsv.bgz regions.bed chrFieldID leftField rightFieldID minCoverage windowsize stepsize tabix_location outfileprefix</w:t>
      </w:r>
    </w:p>
    <w:p w:rsidR="003A0C2F" w:rsidRDefault="00F166FB">
      <w:pPr>
        <w:spacing w:after="5" w:line="528" w:lineRule="auto"/>
        <w:ind w:left="2098" w:right="538" w:firstLine="105"/>
        <w:jc w:val="left"/>
      </w:pPr>
      <w:r>
        <w:rPr>
          <w:rFonts w:ascii="Calibri" w:eastAsia="Calibri" w:hAnsi="Calibri" w:cs="Calibri"/>
        </w:rPr>
        <w:t xml:space="preserve">[-subsample N] [-expectedMaxDist bp] [-label fieldID] </w:t>
      </w:r>
      <w:r>
        <w:t>Example:</w:t>
      </w:r>
    </w:p>
    <w:p w:rsidR="003A0C2F" w:rsidRDefault="00F166FB">
      <w:pPr>
        <w:spacing w:after="5" w:line="248" w:lineRule="auto"/>
        <w:ind w:left="2108" w:right="538"/>
        <w:jc w:val="left"/>
      </w:pPr>
      <w:r>
        <w:rPr>
          <w:rFonts w:ascii="Calibri" w:eastAsia="Calibri" w:hAnsi="Calibri" w:cs="Calibri"/>
        </w:rPr>
        <w:t>python SingleMoleculeCorrelation-NMI-matrix.py</w:t>
      </w:r>
    </w:p>
    <w:p w:rsidR="003A0C2F" w:rsidRDefault="00F166FB">
      <w:pPr>
        <w:spacing w:after="5" w:line="248" w:lineRule="auto"/>
        <w:ind w:left="2302" w:right="538"/>
        <w:jc w:val="left"/>
      </w:pPr>
      <w:r>
        <w:rPr>
          <w:rFonts w:ascii="Calibri" w:eastAsia="Calibri" w:hAnsi="Calibri" w:cs="Calibri"/>
        </w:rPr>
        <w:t>SMAC-seq.reads.tsv.bgz re</w:t>
      </w:r>
      <w:r>
        <w:rPr>
          <w:rFonts w:ascii="Calibri" w:eastAsia="Calibri" w:hAnsi="Calibri" w:cs="Calibri"/>
        </w:rPr>
        <w:t>gions.bed 0 1 2 50 1 1200 tabix</w:t>
      </w:r>
    </w:p>
    <w:p w:rsidR="003A0C2F" w:rsidRDefault="00F166FB">
      <w:pPr>
        <w:spacing w:after="265" w:line="248" w:lineRule="auto"/>
        <w:ind w:left="2302" w:right="538"/>
        <w:jc w:val="left"/>
      </w:pPr>
      <w:r>
        <w:rPr>
          <w:rFonts w:ascii="Calibri" w:eastAsia="Calibri" w:hAnsi="Calibri" w:cs="Calibri"/>
        </w:rPr>
        <w:t>NMI.min50cov.1bp.regions.SMAC-seq -expectedMaxDist 1500</w:t>
      </w:r>
    </w:p>
    <w:p w:rsidR="003A0C2F" w:rsidRDefault="00F166FB">
      <w:pPr>
        <w:spacing w:after="75"/>
        <w:ind w:left="2108" w:right="725"/>
      </w:pPr>
      <w:r>
        <w:t xml:space="preserve">If running genome-wide, split the genome into overlapping bins for paralellization efficiency, e.g. 50-kbp in size with a 10-kbp stride, and calculate a separate matrix for each, then take the average NMI values for each pair of coordinates for downstream </w:t>
      </w:r>
      <w:r>
        <w:t>analyses.</w:t>
      </w:r>
    </w:p>
    <w:p w:rsidR="003A0C2F" w:rsidRDefault="00F166FB">
      <w:pPr>
        <w:spacing w:after="259"/>
        <w:ind w:left="2108" w:right="725"/>
      </w:pPr>
      <w:r>
        <w:t>An example of the results of NMI analysis for yeast m</w:t>
      </w:r>
      <w:r>
        <w:rPr>
          <w:vertAlign w:val="superscript"/>
        </w:rPr>
        <w:t>6</w:t>
      </w:r>
      <w:r>
        <w:t xml:space="preserve">A-CpG-GpCSMAC-seq data is shown in Figure </w:t>
      </w:r>
      <w:r>
        <w:rPr>
          <w:color w:val="E4322B"/>
        </w:rPr>
        <w:t>8</w:t>
      </w:r>
      <w:r>
        <w:t>.</w:t>
      </w:r>
    </w:p>
    <w:p w:rsidR="003A0C2F" w:rsidRDefault="00F166FB">
      <w:pPr>
        <w:ind w:left="2536" w:right="725" w:hanging="2536"/>
      </w:pPr>
      <w:r>
        <w:rPr>
          <w:rFonts w:ascii="Calibri" w:eastAsia="Calibri" w:hAnsi="Calibri" w:cs="Calibri"/>
          <w:b/>
          <w:sz w:val="31"/>
          <w:vertAlign w:val="superscript"/>
        </w:rPr>
        <w:t xml:space="preserve">4 Notes </w:t>
      </w:r>
      <w:r>
        <w:t>1. EcoGII deposits m</w:t>
      </w:r>
      <w:r>
        <w:rPr>
          <w:vertAlign w:val="superscript"/>
        </w:rPr>
        <w:t>6</w:t>
      </w:r>
      <w:r>
        <w:t>A modifications without a sequence preference, but it does not do so with perfect efficiency. It is not conclusively established why that is, i.e. whether the presence of neighboring already modified bases prevents further methylation or whether perhaps th</w:t>
      </w:r>
      <w:r>
        <w:t xml:space="preserve">e enzyme is highly non-processive and stays bound to DNA for a prolonged period after completion of the reaction, thus occluding neighboring bases from further enzymatic action. The methylation efficiency reported by NEB is </w:t>
      </w:r>
      <w:r>
        <w:t>∼</w:t>
      </w:r>
      <w:r>
        <w:t xml:space="preserve">50%, however, this is based on </w:t>
      </w:r>
      <w:r>
        <w:t>a relatively short treatment (5 minutes). On the other hand, based on the original more detailed study describing EcoGII [</w:t>
      </w:r>
      <w:r>
        <w:rPr>
          <w:color w:val="422874"/>
        </w:rPr>
        <w:t>28</w:t>
      </w:r>
      <w:r>
        <w:t>], methylation efficiency seems to be closer to 80% for a prolonged treatment of about an hour. The incubation times during a SMAC-s</w:t>
      </w:r>
      <w:r>
        <w:t>eq experiment would place the expected efficiency somewhere in between these values.</w:t>
      </w:r>
    </w:p>
    <w:p w:rsidR="003A0C2F" w:rsidRDefault="00F166FB">
      <w:pPr>
        <w:spacing w:after="241" w:line="259" w:lineRule="auto"/>
        <w:ind w:left="170" w:right="0" w:firstLine="0"/>
        <w:jc w:val="left"/>
      </w:pPr>
      <w:r>
        <w:rPr>
          <w:noProof/>
        </w:rPr>
        <w:lastRenderedPageBreak/>
        <w:drawing>
          <wp:inline distT="0" distB="0" distL="0" distR="0">
            <wp:extent cx="5040335" cy="5103824"/>
            <wp:effectExtent l="0" t="0" r="0" b="0"/>
            <wp:docPr id="2492" name="Picture 2492"/>
            <wp:cNvGraphicFramePr/>
            <a:graphic xmlns:a="http://schemas.openxmlformats.org/drawingml/2006/main">
              <a:graphicData uri="http://schemas.openxmlformats.org/drawingml/2006/picture">
                <pic:pic xmlns:pic="http://schemas.openxmlformats.org/drawingml/2006/picture">
                  <pic:nvPicPr>
                    <pic:cNvPr id="2492" name="Picture 2492"/>
                    <pic:cNvPicPr/>
                  </pic:nvPicPr>
                  <pic:blipFill>
                    <a:blip r:embed="rId48"/>
                    <a:stretch>
                      <a:fillRect/>
                    </a:stretch>
                  </pic:blipFill>
                  <pic:spPr>
                    <a:xfrm>
                      <a:off x="0" y="0"/>
                      <a:ext cx="5040335" cy="5103824"/>
                    </a:xfrm>
                    <a:prstGeom prst="rect">
                      <a:avLst/>
                    </a:prstGeom>
                  </pic:spPr>
                </pic:pic>
              </a:graphicData>
            </a:graphic>
          </wp:inline>
        </w:drawing>
      </w:r>
    </w:p>
    <w:p w:rsidR="003A0C2F" w:rsidRDefault="00F166FB">
      <w:pPr>
        <w:spacing w:after="630" w:line="263" w:lineRule="auto"/>
        <w:ind w:left="-15" w:firstLine="0"/>
      </w:pPr>
      <w:r>
        <w:rPr>
          <w:b/>
        </w:rPr>
        <w:t xml:space="preserve">Fig. 8: </w:t>
      </w:r>
      <w:r>
        <w:rPr>
          <w:b/>
          <w:sz w:val="18"/>
        </w:rPr>
        <w:t>Example of m</w:t>
      </w:r>
      <w:r>
        <w:rPr>
          <w:sz w:val="18"/>
          <w:vertAlign w:val="superscript"/>
        </w:rPr>
        <w:t>6</w:t>
      </w:r>
      <w:r>
        <w:rPr>
          <w:b/>
          <w:sz w:val="18"/>
        </w:rPr>
        <w:t xml:space="preserve">A-CpG-GpC-SMAC-seq coaccessibility maps (measured in terms of NMI) in </w:t>
      </w:r>
      <w:r>
        <w:rPr>
          <w:rFonts w:ascii="Calibri" w:eastAsia="Calibri" w:hAnsi="Calibri" w:cs="Calibri"/>
          <w:i/>
          <w:sz w:val="18"/>
        </w:rPr>
        <w:t>S. cerevisiae</w:t>
      </w:r>
      <w:r>
        <w:rPr>
          <w:sz w:val="18"/>
        </w:rPr>
        <w:t xml:space="preserve">. Shown is the promoter region of the </w:t>
      </w:r>
      <w:r>
        <w:rPr>
          <w:i/>
          <w:sz w:val="18"/>
        </w:rPr>
        <w:t xml:space="preserve">DCS1 </w:t>
      </w:r>
      <w:r>
        <w:rPr>
          <w:sz w:val="18"/>
        </w:rPr>
        <w:t>gene, together with ch</w:t>
      </w:r>
      <w:r>
        <w:rPr>
          <w:sz w:val="18"/>
        </w:rPr>
        <w:t>emical mapping nucleosome positioning data (top), the single-molecule SMAC-seq map (middle), and the coaccessibility map (bottom).</w:t>
      </w:r>
    </w:p>
    <w:p w:rsidR="003A0C2F" w:rsidRDefault="00F166FB">
      <w:pPr>
        <w:ind w:left="2546" w:right="725"/>
      </w:pPr>
      <w:r>
        <w:t xml:space="preserve">Unfortunately, the most straightforward imaginable experiment that would properly establish EcoGII methylation effiencies in </w:t>
      </w:r>
      <w:r>
        <w:t>the context of a nanopore-based experiment – nanopore sequencing of naked DNA subjected to EcoGII treatment – is not in fact possible because of the strong bias of the Oxford Nanopore platform against fully methylated templates, which simply do not sequenc</w:t>
      </w:r>
      <w:r>
        <w:t>e well and are mostly discarded.</w:t>
      </w:r>
    </w:p>
    <w:p w:rsidR="003A0C2F" w:rsidRDefault="00F166FB">
      <w:pPr>
        <w:numPr>
          <w:ilvl w:val="0"/>
          <w:numId w:val="12"/>
        </w:numPr>
        <w:spacing w:after="86" w:line="265" w:lineRule="auto"/>
        <w:ind w:right="725" w:hanging="255"/>
      </w:pPr>
      <w:r>
        <w:t>EcoGII is commercially available as a solution at relatively low</w:t>
      </w:r>
    </w:p>
    <w:p w:rsidR="003A0C2F" w:rsidRDefault="00F166FB">
      <w:pPr>
        <w:ind w:left="2546" w:right="725"/>
      </w:pPr>
      <w:r>
        <w:lastRenderedPageBreak/>
        <w:t>concentration, and if sufficiently many units of it are to be used, the volume needed becomes too large and could interfere with the labeling reaction. For th</w:t>
      </w:r>
      <w:r>
        <w:t>ese reasons, we are using a custom-made highly concentrated EcoGII from NEB.</w:t>
      </w:r>
    </w:p>
    <w:p w:rsidR="003A0C2F" w:rsidRDefault="00F166FB">
      <w:pPr>
        <w:numPr>
          <w:ilvl w:val="0"/>
          <w:numId w:val="12"/>
        </w:numPr>
        <w:ind w:right="725" w:hanging="255"/>
      </w:pPr>
      <w:r>
        <w:t>SAM is unstable. This is one of the reasons why it is added twice to the reaction, and it is also why it should be handled carefully, avoiding repeated freeze-thaw cycles.</w:t>
      </w:r>
    </w:p>
    <w:p w:rsidR="003A0C2F" w:rsidRDefault="00F166FB">
      <w:pPr>
        <w:numPr>
          <w:ilvl w:val="0"/>
          <w:numId w:val="12"/>
        </w:numPr>
        <w:spacing w:after="30"/>
        <w:ind w:right="725" w:hanging="255"/>
      </w:pPr>
      <w:r>
        <w:t>ONT off</w:t>
      </w:r>
      <w:r>
        <w:t>ers multiple sequencing platforms, and it is advisable to be familiar with the properties of each and the tradeoffs between them.</w:t>
      </w:r>
    </w:p>
    <w:p w:rsidR="003A0C2F" w:rsidRDefault="00F166FB">
      <w:pPr>
        <w:spacing w:after="30"/>
        <w:ind w:left="2546" w:right="725"/>
      </w:pPr>
      <w:r>
        <w:t xml:space="preserve">The MinION is the main ONT sequencing platform, typically generating </w:t>
      </w:r>
      <w:r>
        <w:t>∼</w:t>
      </w:r>
      <w:r>
        <w:t>10 Gbp data (although higher throughput runs have also been observed in practice, up to 20 Gbp) and several million reads. In the context of SMAC-seq, a single MinION is often sufficient to generate adequate coverage over a small genome such as that of yea</w:t>
      </w:r>
      <w:r>
        <w:t>sts.</w:t>
      </w:r>
    </w:p>
    <w:p w:rsidR="003A0C2F" w:rsidRDefault="00F166FB">
      <w:pPr>
        <w:spacing w:after="28"/>
        <w:ind w:left="2546" w:right="725"/>
      </w:pPr>
      <w:r>
        <w:t xml:space="preserve">The Flongle is a miniaturized flowcell that also runs on the MinION instrument, typically generating </w:t>
      </w:r>
      <w:r>
        <w:t>∼</w:t>
      </w:r>
      <w:r>
        <w:t xml:space="preserve">100,000 reads. It is not sufficient for production-scale runs, but as it is priced at </w:t>
      </w:r>
      <w:r>
        <w:t xml:space="preserve">∼ </w:t>
      </w:r>
      <w:r>
        <w:t>1/9 of the cost of a MinION flow cell, it is ideal for testin</w:t>
      </w:r>
      <w:r>
        <w:t>g protocol, carrying out QC runs, etc.</w:t>
      </w:r>
    </w:p>
    <w:p w:rsidR="003A0C2F" w:rsidRDefault="00F166FB">
      <w:pPr>
        <w:spacing w:after="31"/>
        <w:ind w:left="2546" w:right="725"/>
      </w:pPr>
      <w:r>
        <w:t>The GridION can use either MinION or Flongle flowcells and run five of them in parallel.</w:t>
      </w:r>
    </w:p>
    <w:p w:rsidR="003A0C2F" w:rsidRDefault="00F166FB">
      <w:pPr>
        <w:ind w:left="2546" w:right="725"/>
      </w:pPr>
      <w:r>
        <w:t xml:space="preserve">The PromethION is the high-throughout ONT sequencer. It uses different flowcells, each of which can generate up to </w:t>
      </w:r>
      <w:r>
        <w:t>∼</w:t>
      </w:r>
      <w:r>
        <w:t>100 Gbp of d</w:t>
      </w:r>
      <w:r>
        <w:t>ata (and more than 10 million reads), and can run 48 such flowcells in parallel at the same time. Each such flowcell is priced at more than twice the cost of a MinION flowcell. To study larger and more complex eukaryotic genomes using SMAC-seq, the through</w:t>
      </w:r>
      <w:r>
        <w:t>put of the PromethION becomes necessary, and often multiple such flowcells are needed.</w:t>
      </w:r>
    </w:p>
    <w:p w:rsidR="003A0C2F" w:rsidRDefault="00F166FB">
      <w:pPr>
        <w:numPr>
          <w:ilvl w:val="0"/>
          <w:numId w:val="13"/>
        </w:numPr>
        <w:ind w:left="2620" w:right="725" w:hanging="354"/>
      </w:pPr>
      <w:r>
        <w:t>It is important to note that “coverage” means very different things in the contexts of genome sequencing and SMAC-seq. Usually, “coverage” refers to how many reads cover</w:t>
      </w:r>
      <w:r>
        <w:t xml:space="preserve"> a given position in the genome on average. However, the more relevant metric for SMACseq is instead “coverage at length </w:t>
      </w:r>
      <w:r>
        <w:rPr>
          <w:i/>
        </w:rPr>
        <w:t>L</w:t>
      </w:r>
      <w:r>
        <w:t>”, i.e. how many reads cover two position spread apart at a given instance. One of the main goals of SMAC-seq is to capture the coordi</w:t>
      </w:r>
      <w:r>
        <w:t>nated behavior of distal CREs and this is only possible when sufficiently many single molecules containing both CREs have been sequenced. Across eukaryotes a clear trend is observed – as genome size increases, CREs become spread apart more and more. Thus w</w:t>
      </w:r>
      <w:r>
        <w:t xml:space="preserve">hile two yeast promoters are on average 1.5-2 kbp apart, the distance between an enhancer and its cognate promoter in a mammalian genome is often tens of kilobases. Thus the required sequencing throughput to achieve the same effective “coverage at legnth </w:t>
      </w:r>
      <w:r>
        <w:rPr>
          <w:i/>
        </w:rPr>
        <w:t>L</w:t>
      </w:r>
      <w:r>
        <w:t xml:space="preserve">” does not scale linearly once the fact that even with careful size selection there are </w:t>
      </w:r>
      <w:r>
        <w:lastRenderedPageBreak/>
        <w:t>still many more shorter nanopore reads than very long ones is taken into account.</w:t>
      </w:r>
    </w:p>
    <w:p w:rsidR="003A0C2F" w:rsidRDefault="00F166FB">
      <w:pPr>
        <w:numPr>
          <w:ilvl w:val="0"/>
          <w:numId w:val="13"/>
        </w:numPr>
        <w:ind w:left="2620" w:right="725" w:hanging="354"/>
      </w:pPr>
      <w:r>
        <w:t>Low-binding tubes are preferable in order to minimize DNA loss.</w:t>
      </w:r>
    </w:p>
    <w:p w:rsidR="003A0C2F" w:rsidRDefault="00F166FB">
      <w:pPr>
        <w:numPr>
          <w:ilvl w:val="0"/>
          <w:numId w:val="13"/>
        </w:numPr>
        <w:ind w:left="2620" w:right="725" w:hanging="354"/>
      </w:pPr>
      <w:r>
        <w:t>The files containing s</w:t>
      </w:r>
      <w:r>
        <w:t xml:space="preserve">ingle-molecule SMAC-seq information can be huge in size, surpassing 1 TB on occasions. Random access is critical for downstream analysis to be practical. The workflows described here achieve this by using </w:t>
      </w:r>
      <w:r>
        <w:rPr>
          <w:rFonts w:ascii="Calibri" w:eastAsia="Calibri" w:hAnsi="Calibri" w:cs="Calibri"/>
        </w:rPr>
        <w:t xml:space="preserve">tabix </w:t>
      </w:r>
      <w:r>
        <w:t>indexing of coordinatesorted files.</w:t>
      </w:r>
    </w:p>
    <w:p w:rsidR="003A0C2F" w:rsidRDefault="00F166FB">
      <w:pPr>
        <w:numPr>
          <w:ilvl w:val="0"/>
          <w:numId w:val="13"/>
        </w:numPr>
        <w:spacing w:after="30"/>
        <w:ind w:left="2620" w:right="725" w:hanging="354"/>
      </w:pPr>
      <w:r>
        <w:t>The sheer</w:t>
      </w:r>
      <w:r>
        <w:t xml:space="preserve"> volume of nanopore sequencing data presents a different level of challenge in terms of computational infrastructure compared to short-read sequencing. A single PromethION flowcell can produce 100 Gbp of data within 48 hours, and a PromethION instrument ca</w:t>
      </w:r>
      <w:r>
        <w:t>n in principle run 48 such flowcells in parallel.</w:t>
      </w:r>
    </w:p>
    <w:p w:rsidR="003A0C2F" w:rsidRDefault="00F166FB">
      <w:pPr>
        <w:spacing w:after="31"/>
        <w:ind w:left="2546" w:right="725"/>
      </w:pPr>
      <w:r>
        <w:t>However, base calls are far from the only information that needs to be stored. For analysis of SMAC-seq datasets (and of DNA modifications in general), the nanopore current signal itself is what is most imp</w:t>
      </w:r>
      <w:r>
        <w:t>ortant, as it is used during the resquiggling and DNA modification detection steps. Thus the actual disk space footprint of such a flowcell is between one and two orders of magnitude higher than storing the base calls alone.</w:t>
      </w:r>
    </w:p>
    <w:p w:rsidR="003A0C2F" w:rsidRDefault="00F166FB">
      <w:pPr>
        <w:ind w:left="2546" w:right="725"/>
      </w:pPr>
      <w:r>
        <w:t>In addition, a separate challen</w:t>
      </w:r>
      <w:r>
        <w:t>ge has historically been posed by the number of files. This has changed with more recent versions of the ONT processing software, but historically ONT data has been stored in a large number of individual small files, which could be so large that it reached</w:t>
      </w:r>
      <w:r>
        <w:t xml:space="preserve"> the limit on the number of files per use that many shared computational clusters have in place, necessitating sequential processing of datasets in batches and cleaning of files in between each.</w:t>
      </w:r>
    </w:p>
    <w:p w:rsidR="003A0C2F" w:rsidRDefault="00F166FB">
      <w:pPr>
        <w:numPr>
          <w:ilvl w:val="0"/>
          <w:numId w:val="13"/>
        </w:numPr>
        <w:ind w:left="2620" w:right="725" w:hanging="354"/>
      </w:pPr>
      <w:r>
        <w:t>Nanopore sequencing involves no amplification of DNA while ha</w:t>
      </w:r>
      <w:r>
        <w:t xml:space="preserve">ving strict constraints on the minimum amount of DNA that is to be used as input to each sequencing run. A typical PromethION run uses at least 1 </w:t>
      </w:r>
      <w:r>
        <w:rPr>
          <w:i/>
        </w:rPr>
        <w:t>µ</w:t>
      </w:r>
      <w:r>
        <w:t>g of DNA, but if size selection is to be applied prior to it, this corresponds to several times more input DN</w:t>
      </w:r>
      <w:r>
        <w:t xml:space="preserve">A per run. A typical diploid human cell contains </w:t>
      </w:r>
      <w:r>
        <w:t>∼</w:t>
      </w:r>
      <w:r>
        <w:t xml:space="preserve">6 pg of DNA, thus 1 </w:t>
      </w:r>
      <w:r>
        <w:t xml:space="preserve">× </w:t>
      </w:r>
      <w:r>
        <w:t>10</w:t>
      </w:r>
      <w:r>
        <w:rPr>
          <w:vertAlign w:val="superscript"/>
        </w:rPr>
        <w:t xml:space="preserve">6 </w:t>
      </w:r>
      <w:r>
        <w:t xml:space="preserve">cells contain </w:t>
      </w:r>
      <w:r>
        <w:t>∼</w:t>
      </w:r>
      <w:r>
        <w:t>6 ug of DNA. Multiple PromethION runs are required to obtain good coverage for a mammalian-sized genome, thus tens of micrograms of DNA are needed as input to size s</w:t>
      </w:r>
      <w:r>
        <w:t>election and then sequencing. Scale up reactions accordingly based on the specifics of the experiment with these considerations in mind.</w:t>
      </w:r>
    </w:p>
    <w:p w:rsidR="003A0C2F" w:rsidRDefault="00F166FB">
      <w:pPr>
        <w:numPr>
          <w:ilvl w:val="0"/>
          <w:numId w:val="13"/>
        </w:numPr>
        <w:ind w:left="2620" w:right="725" w:hanging="354"/>
      </w:pPr>
      <w:r>
        <w:t>Elution volumes are important for nanopore sequencing. All ONT sequencing kits have a minimum requirement for the amoun</w:t>
      </w:r>
      <w:r>
        <w:t>t of input DNA but also a maximum limit to the volume in which it is contained. Concentrating DNA using beads will result in significant losses while doing so by evaporation leads to its degradation. Thus it is best to have a large amount of DNA in a small</w:t>
      </w:r>
      <w:r>
        <w:t xml:space="preserve"> volume. However, there is a tradeoff between the elution volume and the efficiency of </w:t>
      </w:r>
      <w:r>
        <w:lastRenderedPageBreak/>
        <w:t>elution – larger elution volumes lead to better overall yields. Thus the optimal elution volume is to be decided based on the number of cells used for the SMAC-seq react</w:t>
      </w:r>
      <w:r>
        <w:t>ion and the exact ONT kits that are to be used for sequencing.</w:t>
      </w:r>
    </w:p>
    <w:p w:rsidR="003A0C2F" w:rsidRDefault="00F166FB">
      <w:pPr>
        <w:numPr>
          <w:ilvl w:val="0"/>
          <w:numId w:val="13"/>
        </w:numPr>
        <w:spacing w:after="28"/>
        <w:ind w:left="2620" w:right="725" w:hanging="354"/>
      </w:pPr>
      <w:r>
        <w:t>HMW DNA is stable for a long time at 4</w:t>
      </w:r>
      <w:r>
        <w:rPr>
          <w:vertAlign w:val="superscript"/>
        </w:rPr>
        <w:t>◦</w:t>
      </w:r>
      <w:r>
        <w:t>C, but it is strongly recommended not to freeze it at -20</w:t>
      </w:r>
      <w:r>
        <w:rPr>
          <w:vertAlign w:val="superscript"/>
        </w:rPr>
        <w:t>◦</w:t>
      </w:r>
      <w:r>
        <w:t>C or -80</w:t>
      </w:r>
      <w:r>
        <w:rPr>
          <w:vertAlign w:val="superscript"/>
        </w:rPr>
        <w:t>◦</w:t>
      </w:r>
      <w:r>
        <w:t>C as this will likely result in fragmentation. Also, highly concentrated HWM DNA can so</w:t>
      </w:r>
      <w:r>
        <w:t>metimes precipitate out of solution after prolonged storage so make sure to inspect tubes before use. Resuspend by tapping the tubes with your fingers, do not pipette up and down as this is also thought to lead to HMW DNA degradation.</w:t>
      </w:r>
    </w:p>
    <w:p w:rsidR="003A0C2F" w:rsidRDefault="00F166FB">
      <w:pPr>
        <w:ind w:left="2546" w:right="725"/>
      </w:pPr>
      <w:r>
        <w:t>In addition, always t</w:t>
      </w:r>
      <w:r>
        <w:t>ransfer HMW DNA using wide bore tips to prevent shearing.</w:t>
      </w:r>
    </w:p>
    <w:p w:rsidR="003A0C2F" w:rsidRDefault="00F166FB">
      <w:pPr>
        <w:numPr>
          <w:ilvl w:val="0"/>
          <w:numId w:val="13"/>
        </w:numPr>
        <w:ind w:left="2620" w:right="725" w:hanging="354"/>
      </w:pPr>
      <w:r>
        <w:t>Yeast (and fungal cells in general) have thick cell walls comprised of polysaccharides, lipids and chitin in various proportions. They present a barrier to the access of most enzymes to the nucleus,</w:t>
      </w:r>
      <w:r>
        <w:t xml:space="preserve"> thus protocols tailored to such cells involve treatment with zymolyase or chitinase enzymes [</w:t>
      </w:r>
      <w:r>
        <w:rPr>
          <w:color w:val="422874"/>
        </w:rPr>
        <w:t>39</w:t>
      </w:r>
      <w:r>
        <w:t>], with the exact details varying depending on the species studied.</w:t>
      </w:r>
    </w:p>
    <w:p w:rsidR="003A0C2F" w:rsidRDefault="00F166FB">
      <w:pPr>
        <w:numPr>
          <w:ilvl w:val="0"/>
          <w:numId w:val="13"/>
        </w:numPr>
        <w:spacing w:after="39"/>
        <w:ind w:left="2620" w:right="725" w:hanging="354"/>
      </w:pPr>
      <w:r>
        <w:t>Nanopore sequencing is a powerful tool for detecting DNA modifications, but discerning modified bases from raw nanopore signal is not yet a fully resolved problem, especially for methylation modifications, which do not provide a huge shift in current signa</w:t>
      </w:r>
      <w:r>
        <w:t>l relative to the unmodified base. Detection of m</w:t>
      </w:r>
      <w:r>
        <w:rPr>
          <w:vertAlign w:val="superscript"/>
        </w:rPr>
        <w:t>6</w:t>
      </w:r>
      <w:r>
        <w:t>A is more challenging that detection of m</w:t>
      </w:r>
      <w:r>
        <w:rPr>
          <w:vertAlign w:val="superscript"/>
        </w:rPr>
        <w:t>5</w:t>
      </w:r>
      <w:r>
        <w:t>C, possibly because a single methyl group changes the overall properties of a purine base to a lesser extent than it does for a pyrimidine. In addition, it should b</w:t>
      </w:r>
      <w:r>
        <w:t>e noted that current implementations of nanopore sequencing do not actually read out a single bases at a time. Instead, they read several bases at a time and the problem of base calling and modification detection is solved not in the small space of bases b</w:t>
      </w:r>
      <w:r>
        <w:t xml:space="preserve">ut in the much larger space of </w:t>
      </w:r>
      <w:r>
        <w:rPr>
          <w:i/>
        </w:rPr>
        <w:t>k</w:t>
      </w:r>
      <w:r>
        <w:t>-mers of size 5 or 6.</w:t>
      </w:r>
    </w:p>
    <w:p w:rsidR="003A0C2F" w:rsidRDefault="00F166FB">
      <w:pPr>
        <w:spacing w:after="37"/>
        <w:ind w:left="2546" w:right="725"/>
      </w:pPr>
      <w:r>
        <w:t>Base calling errors are therefore at present an unavoidable part of the reality of dealing with nanopore datasets.</w:t>
      </w:r>
    </w:p>
    <w:p w:rsidR="003A0C2F" w:rsidRDefault="00F166FB">
      <w:pPr>
        <w:spacing w:after="28"/>
        <w:ind w:left="2546" w:right="725"/>
      </w:pPr>
      <w:r>
        <w:t>In our experience, the error rate for calling m</w:t>
      </w:r>
      <w:r>
        <w:rPr>
          <w:vertAlign w:val="superscript"/>
        </w:rPr>
        <w:t>6</w:t>
      </w:r>
      <w:r>
        <w:t xml:space="preserve">A at the level of a single base within </w:t>
      </w:r>
      <w:r>
        <w:t>a single molecule in the context of SMAC-seq is in the 20–25% range, while that for m</w:t>
      </w:r>
      <w:r>
        <w:rPr>
          <w:vertAlign w:val="superscript"/>
        </w:rPr>
        <w:t>5</w:t>
      </w:r>
      <w:r>
        <w:t>C is somewhere around 15%.</w:t>
      </w:r>
    </w:p>
    <w:p w:rsidR="003A0C2F" w:rsidRDefault="00F166FB">
      <w:pPr>
        <w:ind w:left="2546" w:right="725"/>
      </w:pPr>
      <w:r>
        <w:t>However, we expect the performance to improve significantly in the future through a combination of computational and experimental approaches.</w:t>
      </w:r>
    </w:p>
    <w:p w:rsidR="003A0C2F" w:rsidRDefault="00F166FB">
      <w:pPr>
        <w:numPr>
          <w:ilvl w:val="0"/>
          <w:numId w:val="13"/>
        </w:numPr>
        <w:ind w:left="2620" w:right="725" w:hanging="354"/>
      </w:pPr>
      <w:r>
        <w:t>U</w:t>
      </w:r>
      <w:r>
        <w:t>nlike CpG and GpC sequence contexts, which are symmetric, and therefore bases that are to be modified are present at the same position on both strand, m</w:t>
      </w:r>
      <w:r>
        <w:rPr>
          <w:vertAlign w:val="superscript"/>
        </w:rPr>
        <w:t>6</w:t>
      </w:r>
      <w:r>
        <w:t>A provides different information on the forward and reverse strand, as it is not a symmetric sequence c</w:t>
      </w:r>
      <w:r>
        <w:t>ontext. This is a partial limitation of m</w:t>
      </w:r>
      <w:r>
        <w:rPr>
          <w:vertAlign w:val="superscript"/>
        </w:rPr>
        <w:t>6</w:t>
      </w:r>
      <w:r>
        <w:t xml:space="preserve">A-SMAC-seq, because </w:t>
      </w:r>
      <w:r>
        <w:lastRenderedPageBreak/>
        <w:t>different profiles can be generated from the two strands in some situations.</w:t>
      </w:r>
    </w:p>
    <w:p w:rsidR="003A0C2F" w:rsidRDefault="00F166FB">
      <w:pPr>
        <w:spacing w:after="175" w:line="259" w:lineRule="auto"/>
        <w:ind w:left="0" w:right="0" w:firstLine="0"/>
        <w:jc w:val="left"/>
      </w:pPr>
      <w:r>
        <w:rPr>
          <w:rFonts w:ascii="Calibri" w:eastAsia="Calibri" w:hAnsi="Calibri" w:cs="Calibri"/>
          <w:noProof/>
          <w:sz w:val="22"/>
        </w:rPr>
        <mc:AlternateContent>
          <mc:Choice Requires="wpg">
            <w:drawing>
              <wp:inline distT="0" distB="0" distL="0" distR="0">
                <wp:extent cx="5255997" cy="18974"/>
                <wp:effectExtent l="0" t="0" r="0" b="0"/>
                <wp:docPr id="19839" name="Group 19839"/>
                <wp:cNvGraphicFramePr/>
                <a:graphic xmlns:a="http://schemas.openxmlformats.org/drawingml/2006/main">
                  <a:graphicData uri="http://schemas.microsoft.com/office/word/2010/wordprocessingGroup">
                    <wpg:wgp>
                      <wpg:cNvGrpSpPr/>
                      <wpg:grpSpPr>
                        <a:xfrm>
                          <a:off x="0" y="0"/>
                          <a:ext cx="5255997" cy="18974"/>
                          <a:chOff x="0" y="0"/>
                          <a:chExt cx="5255997" cy="18974"/>
                        </a:xfrm>
                      </wpg:grpSpPr>
                      <wps:wsp>
                        <wps:cNvPr id="29853" name="Shape 29853"/>
                        <wps:cNvSpPr/>
                        <wps:spPr>
                          <a:xfrm>
                            <a:off x="0" y="0"/>
                            <a:ext cx="5255997" cy="18974"/>
                          </a:xfrm>
                          <a:custGeom>
                            <a:avLst/>
                            <a:gdLst/>
                            <a:ahLst/>
                            <a:cxnLst/>
                            <a:rect l="0" t="0" r="0" b="0"/>
                            <a:pathLst>
                              <a:path w="5255997" h="18974">
                                <a:moveTo>
                                  <a:pt x="0" y="0"/>
                                </a:moveTo>
                                <a:lnTo>
                                  <a:pt x="5255997" y="0"/>
                                </a:lnTo>
                                <a:lnTo>
                                  <a:pt x="5255997"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8E0F5D" id="Group 19839" o:spid="_x0000_s1026" style="width:413.85pt;height:1.5pt;mso-position-horizontal-relative:char;mso-position-vertical-relative:line" coordsize="525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3PewIAAF8GAAAOAAAAZHJzL2Uyb0RvYy54bWykVc1u2zAMvg/YOwi+L3bSZY2NJD2sWy7D&#10;VrTdAyiyZBuQJUFS4uTtR9G2YqRbB7Q52DT1kSI//mR9d2olOXLrGq02yXyWJYQrpstGVZvk9/P3&#10;T6uEOE9VSaVWfJOcuUvuth8/rDtT8IWutSy5JeBEuaIzm6T23hRp6ljNW+pm2nAFh0Lblnr4tFVa&#10;WtqB91amiyz7knbalsZqxp0D7X1/mGzRvxCc+V9COO6J3CQQm8enxec+PNPtmhaVpaZu2BAGfUMU&#10;LW0UXBpd3VNPycE2L1y1DbPaaeFnTLepFqJhHHOAbObZVTY7qw8Gc6mKrjKRJqD2iqc3u2U/jw+W&#10;NCXULl/d5AlRtIUy4c2kVwFFnakKQO6seTIPdlBU/VfI+iRsG96QDzkhuedILj95wkC5XCyXeX6b&#10;EAZn81V++7knn9VQoRdWrP72ql06XpqG2GIonYE2chem3PuYeqqp4VgAF/IfmFrkq+XNyBRCSK9C&#10;YhAZaXKFA8bex1HMlRbs4PyOaySbHn843/dvOUq0HiV2UqNoYQpe7X9DfbALUQaRdJNq1WOxwmmr&#10;j/xZI85flQyCvJxKNUXFyo9NAdgRMb4N+psiY4v8Ew3zPG2l/+Bw1iMGhJDqdj0ImD7IU4KlCkzA&#10;LYzCZhKSehzxtvGwsmTTAjOL2yy7OAZvoQH7iqPkz5IHuqR65ALGDIcjKJyt9l+lJUcaFhP+0DmV&#10;pqaDNswHhDRAUUY/wV40UkaXczT9m8vewwAOdhx3YrTMeks2RNMvRlgvkPS4HiGCaIQ3a+WjvYKl&#10;jmFOsg3iXpdnXBRICEwkUoNbDPMYNm5Yk9NvRF3+F7Z/AAAA//8DAFBLAwQUAAYACAAAACEAijzE&#10;ttsAAAADAQAADwAAAGRycy9kb3ducmV2LnhtbEyPT2vCQBDF74V+h2WE3uomSlViNiLS9iQF/0Dp&#10;bcyOSTA7G7JrEr99t73oZeDxHu/9Jl0NphYdta6yrCAeRyCIc6srLhQcDx+vCxDOI2usLZOCGzlY&#10;Zc9PKSba9ryjbu8LEUrYJaig9L5JpHR5SQbd2DbEwTvb1qAPsi2kbrEP5aaWkyiaSYMVh4USG9qU&#10;lF/2V6Pgs8d+PY3fu+3lvLn9HN6+vrcxKfUyGtZLEJ4Gfw/DH35AhywwneyVtRO1gvCI/7/BW0zm&#10;cxAnBdMIZJbKR/bsFwAA//8DAFBLAQItABQABgAIAAAAIQC2gziS/gAAAOEBAAATAAAAAAAAAAAA&#10;AAAAAAAAAABbQ29udGVudF9UeXBlc10ueG1sUEsBAi0AFAAGAAgAAAAhADj9If/WAAAAlAEAAAsA&#10;AAAAAAAAAAAAAAAALwEAAF9yZWxzLy5yZWxzUEsBAi0AFAAGAAgAAAAhADfsnc97AgAAXwYAAA4A&#10;AAAAAAAAAAAAAAAALgIAAGRycy9lMm9Eb2MueG1sUEsBAi0AFAAGAAgAAAAhAIo8xLbbAAAAAwEA&#10;AA8AAAAAAAAAAAAAAAAA1QQAAGRycy9kb3ducmV2LnhtbFBLBQYAAAAABAAEAPMAAADdBQAAAAA=&#10;">
                <v:shape id="Shape 29853" o:spid="_x0000_s1027" style="position:absolute;width:52559;height:189;visibility:visible;mso-wrap-style:square;v-text-anchor:top" coordsize="5255997,1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XF8YA&#10;AADeAAAADwAAAGRycy9kb3ducmV2LnhtbESPQWvCQBSE74L/YXlCb3VTS4umbkQEIXgpjdLS2yP7&#10;moRk34bsmsT8+m6h4HGYmW+Y7W40jeipc5VlBU/LCARxbnXFhYLL+fi4BuE8ssbGMim4kYNdMp9t&#10;MdZ24A/qM1+IAGEXo4LS+zaW0uUlGXRL2xIH78d2Bn2QXSF1h0OAm0auouhVGqw4LJTY0qGkvM6u&#10;RkEm+fA5HSl9xy/p+Fv7Uz1tlHpYjPs3EJ5Gfw//t1OtYLVZvzzD351wB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DXF8YAAADeAAAADwAAAAAAAAAAAAAAAACYAgAAZHJz&#10;L2Rvd25yZXYueG1sUEsFBgAAAAAEAAQA9QAAAIsDAAAAAA==&#10;" path="m,l5255997,r,18974l,18974,,e" fillcolor="black" stroked="f" strokeweight="0">
                  <v:stroke miterlimit="83231f" joinstyle="miter"/>
                  <v:path arrowok="t" textboxrect="0,0,5255997,18974"/>
                </v:shape>
                <w10:anchorlock/>
              </v:group>
            </w:pict>
          </mc:Fallback>
        </mc:AlternateContent>
      </w:r>
    </w:p>
    <w:p w:rsidR="003A0C2F" w:rsidRDefault="00F166FB">
      <w:pPr>
        <w:spacing w:after="51" w:line="265" w:lineRule="auto"/>
        <w:ind w:left="-5" w:right="0"/>
        <w:jc w:val="left"/>
      </w:pPr>
      <w:r>
        <w:rPr>
          <w:rFonts w:ascii="Calibri" w:eastAsia="Calibri" w:hAnsi="Calibri" w:cs="Calibri"/>
          <w:b/>
        </w:rPr>
        <w:t>Acknowledgements</w:t>
      </w:r>
    </w:p>
    <w:p w:rsidR="003A0C2F" w:rsidRDefault="00F166FB">
      <w:pPr>
        <w:ind w:left="2108" w:right="725"/>
      </w:pPr>
      <w:r>
        <w:t>The authors thank members of the Greenleaf and Kundaje labs for many helpful discussions. This work was supported by NIH grants UM1HG009436 and P50HG007735 (to W.J.G.). WJG is a Chan Zuckerberg investigator. Z.S. is supported by EMBO Long-Term Fellowship E</w:t>
      </w:r>
      <w:r>
        <w:t>MBO ALTF 1119-2016 and by Human Frontier Science Program LongTerm Fellowship HFSP LT 000835/2017-L. G.K.M. was supported by the Stanford School of Medicine Dean’s Fellowship.</w:t>
      </w:r>
    </w:p>
    <w:p w:rsidR="003A0C2F" w:rsidRDefault="003A0C2F">
      <w:pPr>
        <w:sectPr w:rsidR="003A0C2F">
          <w:footerReference w:type="even" r:id="rId49"/>
          <w:footerReference w:type="default" r:id="rId50"/>
          <w:footerReference w:type="first" r:id="rId51"/>
          <w:footnotePr>
            <w:numRestart w:val="eachPage"/>
          </w:footnotePr>
          <w:pgSz w:w="10205" w:h="14173"/>
          <w:pgMar w:top="1247" w:right="224" w:bottom="44" w:left="964" w:header="720" w:footer="497" w:gutter="0"/>
          <w:cols w:space="720"/>
        </w:sectPr>
      </w:pPr>
    </w:p>
    <w:p w:rsidR="003A0C2F" w:rsidRDefault="00F166FB">
      <w:pPr>
        <w:spacing w:after="441" w:line="265" w:lineRule="auto"/>
        <w:ind w:left="-5" w:right="0"/>
        <w:jc w:val="left"/>
      </w:pPr>
      <w:r>
        <w:rPr>
          <w:rFonts w:ascii="Calibri" w:eastAsia="Calibri" w:hAnsi="Calibri" w:cs="Calibri"/>
          <w:b/>
        </w:rPr>
        <w:t>References</w:t>
      </w:r>
    </w:p>
    <w:p w:rsidR="003A0C2F" w:rsidRDefault="00F166FB">
      <w:pPr>
        <w:numPr>
          <w:ilvl w:val="0"/>
          <w:numId w:val="14"/>
        </w:numPr>
        <w:spacing w:after="73" w:line="263" w:lineRule="auto"/>
        <w:ind w:right="0" w:hanging="335"/>
      </w:pPr>
      <w:r>
        <w:rPr>
          <w:sz w:val="18"/>
        </w:rPr>
        <w:t>Wu C. (1980) The 5</w:t>
      </w:r>
      <w:r>
        <w:rPr>
          <w:sz w:val="18"/>
          <w:vertAlign w:val="superscript"/>
        </w:rPr>
        <w:t xml:space="preserve">0 </w:t>
      </w:r>
      <w:r>
        <w:rPr>
          <w:sz w:val="18"/>
        </w:rPr>
        <w:t xml:space="preserve">ends of </w:t>
      </w:r>
      <w:r>
        <w:rPr>
          <w:i/>
          <w:sz w:val="18"/>
        </w:rPr>
        <w:t xml:space="preserve">Drosophila </w:t>
      </w:r>
      <w:r>
        <w:rPr>
          <w:sz w:val="18"/>
        </w:rPr>
        <w:t xml:space="preserve">heat shock genes in chromatin are hypersensitive to DNase I. </w:t>
      </w:r>
      <w:r>
        <w:rPr>
          <w:i/>
          <w:sz w:val="18"/>
        </w:rPr>
        <w:t xml:space="preserve">Nature </w:t>
      </w:r>
      <w:r>
        <w:rPr>
          <w:b/>
          <w:sz w:val="18"/>
        </w:rPr>
        <w:t>286</w:t>
      </w:r>
      <w:r>
        <w:rPr>
          <w:sz w:val="18"/>
        </w:rPr>
        <w:t>(5776):854–860.</w:t>
      </w:r>
    </w:p>
    <w:p w:rsidR="003A0C2F" w:rsidRDefault="00F166FB">
      <w:pPr>
        <w:numPr>
          <w:ilvl w:val="0"/>
          <w:numId w:val="14"/>
        </w:numPr>
        <w:spacing w:after="73" w:line="263" w:lineRule="auto"/>
        <w:ind w:right="0" w:hanging="335"/>
      </w:pPr>
      <w:r>
        <w:rPr>
          <w:sz w:val="18"/>
        </w:rPr>
        <w:t>Keene MA, Corces V,</w:t>
      </w:r>
      <w:r>
        <w:rPr>
          <w:sz w:val="18"/>
        </w:rPr>
        <w:t xml:space="preserve"> Lowenhaupt K, et al. (1981) DNase I hypersensitive sites in Drosophila chromatin occur at the 5</w:t>
      </w:r>
      <w:r>
        <w:rPr>
          <w:sz w:val="18"/>
          <w:vertAlign w:val="superscript"/>
        </w:rPr>
        <w:t xml:space="preserve">0 </w:t>
      </w:r>
      <w:r>
        <w:rPr>
          <w:sz w:val="18"/>
        </w:rPr>
        <w:t xml:space="preserve">ends of regions of transcription. </w:t>
      </w:r>
      <w:r>
        <w:rPr>
          <w:i/>
          <w:sz w:val="18"/>
        </w:rPr>
        <w:t xml:space="preserve">Proc Natl Acad Sci U S A </w:t>
      </w:r>
      <w:r>
        <w:rPr>
          <w:b/>
          <w:sz w:val="18"/>
        </w:rPr>
        <w:t>78</w:t>
      </w:r>
      <w:r>
        <w:rPr>
          <w:sz w:val="18"/>
        </w:rPr>
        <w:t>, 143–146.</w:t>
      </w:r>
    </w:p>
    <w:p w:rsidR="003A0C2F" w:rsidRDefault="00F166FB">
      <w:pPr>
        <w:numPr>
          <w:ilvl w:val="0"/>
          <w:numId w:val="14"/>
        </w:numPr>
        <w:spacing w:after="26" w:line="263" w:lineRule="auto"/>
        <w:ind w:right="0" w:hanging="335"/>
      </w:pPr>
      <w:r>
        <w:rPr>
          <w:sz w:val="18"/>
        </w:rPr>
        <w:t>McGhee JD, Wood WI, Dolan M, et al.</w:t>
      </w:r>
    </w:p>
    <w:p w:rsidR="003A0C2F" w:rsidRDefault="00F166FB">
      <w:pPr>
        <w:spacing w:after="73" w:line="263" w:lineRule="auto"/>
        <w:ind w:left="454" w:right="0" w:firstLine="0"/>
      </w:pPr>
      <w:r>
        <w:rPr>
          <w:sz w:val="18"/>
        </w:rPr>
        <w:t>(1981) A 200 base pair region at the 5</w:t>
      </w:r>
      <w:r>
        <w:rPr>
          <w:sz w:val="18"/>
          <w:vertAlign w:val="superscript"/>
        </w:rPr>
        <w:t xml:space="preserve">0 </w:t>
      </w:r>
      <w:r>
        <w:rPr>
          <w:sz w:val="18"/>
        </w:rPr>
        <w:t>end of the</w:t>
      </w:r>
      <w:r>
        <w:rPr>
          <w:sz w:val="18"/>
        </w:rPr>
        <w:t xml:space="preserve"> chicken adult </w:t>
      </w:r>
      <w:r>
        <w:rPr>
          <w:i/>
          <w:sz w:val="18"/>
        </w:rPr>
        <w:t>β</w:t>
      </w:r>
      <w:r>
        <w:rPr>
          <w:sz w:val="18"/>
        </w:rPr>
        <w:t xml:space="preserve">-globin gene is accessible to nuclease digestion. </w:t>
      </w:r>
      <w:r>
        <w:rPr>
          <w:i/>
          <w:sz w:val="18"/>
        </w:rPr>
        <w:t xml:space="preserve">Cell </w:t>
      </w:r>
      <w:r>
        <w:rPr>
          <w:b/>
          <w:sz w:val="18"/>
        </w:rPr>
        <w:t>27</w:t>
      </w:r>
      <w:r>
        <w:rPr>
          <w:sz w:val="18"/>
        </w:rPr>
        <w:t>, 45–55.</w:t>
      </w:r>
    </w:p>
    <w:p w:rsidR="003A0C2F" w:rsidRDefault="00F166FB">
      <w:pPr>
        <w:numPr>
          <w:ilvl w:val="0"/>
          <w:numId w:val="14"/>
        </w:numPr>
        <w:spacing w:after="73" w:line="263" w:lineRule="auto"/>
        <w:ind w:right="0" w:hanging="335"/>
      </w:pPr>
      <w:r>
        <w:rPr>
          <w:sz w:val="18"/>
        </w:rPr>
        <w:t xml:space="preserve">Dorschner MO, Hawrylycz M, Humbert R, et al. (2004) High-throughput localization of functional elements by quantitative chromatin profiling. </w:t>
      </w:r>
      <w:r>
        <w:rPr>
          <w:i/>
          <w:sz w:val="18"/>
        </w:rPr>
        <w:t xml:space="preserve">Nat Methods </w:t>
      </w:r>
      <w:r>
        <w:rPr>
          <w:b/>
          <w:sz w:val="18"/>
        </w:rPr>
        <w:t>1</w:t>
      </w:r>
      <w:r>
        <w:rPr>
          <w:sz w:val="18"/>
        </w:rPr>
        <w:t>, 219–225.</w:t>
      </w:r>
    </w:p>
    <w:p w:rsidR="003A0C2F" w:rsidRDefault="00F166FB">
      <w:pPr>
        <w:numPr>
          <w:ilvl w:val="0"/>
          <w:numId w:val="14"/>
        </w:numPr>
        <w:spacing w:after="73" w:line="263" w:lineRule="auto"/>
        <w:ind w:right="0" w:hanging="335"/>
      </w:pPr>
      <w:r>
        <w:rPr>
          <w:sz w:val="18"/>
        </w:rPr>
        <w:t xml:space="preserve">Sabo PJ, </w:t>
      </w:r>
      <w:r>
        <w:rPr>
          <w:sz w:val="18"/>
        </w:rPr>
        <w:t xml:space="preserve">Humbert R, Hawrylycz M, et al. (2004) Genome-wide identification of DNaseI hypersensitive sites using active chromatin sequence libraries. </w:t>
      </w:r>
      <w:r>
        <w:rPr>
          <w:i/>
          <w:sz w:val="18"/>
        </w:rPr>
        <w:t xml:space="preserve">Proc Natl Acad Sci U S A </w:t>
      </w:r>
      <w:r>
        <w:rPr>
          <w:b/>
          <w:sz w:val="18"/>
        </w:rPr>
        <w:t>101</w:t>
      </w:r>
      <w:r>
        <w:rPr>
          <w:sz w:val="18"/>
        </w:rPr>
        <w:t>, 4537-4542.</w:t>
      </w:r>
    </w:p>
    <w:p w:rsidR="003A0C2F" w:rsidRDefault="00F166FB">
      <w:pPr>
        <w:numPr>
          <w:ilvl w:val="0"/>
          <w:numId w:val="14"/>
        </w:numPr>
        <w:spacing w:after="18" w:line="263" w:lineRule="auto"/>
        <w:ind w:right="0" w:hanging="335"/>
      </w:pPr>
      <w:r>
        <w:rPr>
          <w:sz w:val="18"/>
        </w:rPr>
        <w:t>Sabo PJ, Kuehn MS, Thurman R, et al.</w:t>
      </w:r>
    </w:p>
    <w:p w:rsidR="003A0C2F" w:rsidRDefault="00F166FB">
      <w:pPr>
        <w:spacing w:after="73" w:line="263" w:lineRule="auto"/>
        <w:ind w:left="454" w:right="0" w:firstLine="0"/>
      </w:pPr>
      <w:r>
        <w:rPr>
          <w:sz w:val="18"/>
        </w:rPr>
        <w:t xml:space="preserve">(2006) Genome-scale mapping of DNase I </w:t>
      </w:r>
      <w:r>
        <w:rPr>
          <w:sz w:val="18"/>
        </w:rPr>
        <w:t xml:space="preserve">sensitivity in vivo using tiling DNA microarrays. </w:t>
      </w:r>
      <w:r>
        <w:rPr>
          <w:i/>
          <w:sz w:val="18"/>
        </w:rPr>
        <w:t xml:space="preserve">Nat Methods </w:t>
      </w:r>
      <w:r>
        <w:rPr>
          <w:b/>
          <w:sz w:val="18"/>
        </w:rPr>
        <w:t>3</w:t>
      </w:r>
      <w:r>
        <w:rPr>
          <w:sz w:val="18"/>
        </w:rPr>
        <w:t>, 511–518.</w:t>
      </w:r>
    </w:p>
    <w:p w:rsidR="003A0C2F" w:rsidRDefault="00F166FB">
      <w:pPr>
        <w:numPr>
          <w:ilvl w:val="0"/>
          <w:numId w:val="14"/>
        </w:numPr>
        <w:spacing w:after="73" w:line="263" w:lineRule="auto"/>
        <w:ind w:right="0" w:hanging="335"/>
      </w:pPr>
      <w:r>
        <w:rPr>
          <w:sz w:val="18"/>
        </w:rPr>
        <w:t xml:space="preserve">Crawford GE, Holt IE, Whittle J, et al. (2006) Genome-wide mapping of DNase hypersensitive sites using massively parallel signature sequencing (MPSS). </w:t>
      </w:r>
      <w:r>
        <w:rPr>
          <w:i/>
          <w:sz w:val="18"/>
        </w:rPr>
        <w:t xml:space="preserve">Genome Res </w:t>
      </w:r>
      <w:r>
        <w:rPr>
          <w:b/>
          <w:sz w:val="18"/>
        </w:rPr>
        <w:t>16</w:t>
      </w:r>
      <w:r>
        <w:rPr>
          <w:sz w:val="18"/>
        </w:rPr>
        <w:t>, 123–131.</w:t>
      </w:r>
    </w:p>
    <w:p w:rsidR="003A0C2F" w:rsidRDefault="00F166FB">
      <w:pPr>
        <w:numPr>
          <w:ilvl w:val="0"/>
          <w:numId w:val="14"/>
        </w:numPr>
        <w:spacing w:after="73" w:line="263" w:lineRule="auto"/>
        <w:ind w:right="0" w:hanging="335"/>
      </w:pPr>
      <w:r>
        <w:rPr>
          <w:sz w:val="18"/>
        </w:rPr>
        <w:t xml:space="preserve">Boyle AP, Davis S, Shulha HP, et al. (2008) High-resolution mapping and </w:t>
      </w:r>
      <w:r>
        <w:rPr>
          <w:sz w:val="18"/>
        </w:rPr>
        <w:t xml:space="preserve">characterization of open chromatin across the genome. </w:t>
      </w:r>
      <w:r>
        <w:rPr>
          <w:i/>
          <w:sz w:val="18"/>
        </w:rPr>
        <w:t xml:space="preserve">Cell </w:t>
      </w:r>
      <w:r>
        <w:rPr>
          <w:b/>
          <w:sz w:val="18"/>
        </w:rPr>
        <w:t>132</w:t>
      </w:r>
      <w:r>
        <w:rPr>
          <w:sz w:val="18"/>
        </w:rPr>
        <w:t>(2):311–322.</w:t>
      </w:r>
    </w:p>
    <w:p w:rsidR="003A0C2F" w:rsidRDefault="00F166FB">
      <w:pPr>
        <w:numPr>
          <w:ilvl w:val="0"/>
          <w:numId w:val="14"/>
        </w:numPr>
        <w:spacing w:after="18" w:line="263" w:lineRule="auto"/>
        <w:ind w:right="0" w:hanging="335"/>
      </w:pPr>
      <w:r>
        <w:rPr>
          <w:sz w:val="18"/>
        </w:rPr>
        <w:t>Thurman RE, Rynes E, Humbert R, et al.</w:t>
      </w:r>
    </w:p>
    <w:p w:rsidR="003A0C2F" w:rsidRDefault="00F166FB">
      <w:pPr>
        <w:spacing w:after="81" w:line="259" w:lineRule="auto"/>
        <w:ind w:right="-15"/>
        <w:jc w:val="right"/>
      </w:pPr>
      <w:r>
        <w:rPr>
          <w:sz w:val="18"/>
        </w:rPr>
        <w:t>(2012) The accessible chromatin landscape of</w:t>
      </w:r>
    </w:p>
    <w:p w:rsidR="003A0C2F" w:rsidRDefault="00F166FB">
      <w:pPr>
        <w:spacing w:after="81" w:line="259" w:lineRule="auto"/>
        <w:ind w:right="-15"/>
        <w:jc w:val="right"/>
      </w:pPr>
      <w:r>
        <w:rPr>
          <w:sz w:val="18"/>
        </w:rPr>
        <w:t xml:space="preserve">the human genome. </w:t>
      </w:r>
      <w:r>
        <w:rPr>
          <w:i/>
          <w:sz w:val="18"/>
        </w:rPr>
        <w:t xml:space="preserve">Nature </w:t>
      </w:r>
      <w:r>
        <w:rPr>
          <w:b/>
          <w:sz w:val="18"/>
        </w:rPr>
        <w:t>489</w:t>
      </w:r>
      <w:r>
        <w:rPr>
          <w:sz w:val="18"/>
        </w:rPr>
        <w:t>(7414):75-82.</w:t>
      </w:r>
    </w:p>
    <w:p w:rsidR="003A0C2F" w:rsidRDefault="00F166FB">
      <w:pPr>
        <w:numPr>
          <w:ilvl w:val="0"/>
          <w:numId w:val="14"/>
        </w:numPr>
        <w:spacing w:after="73" w:line="263" w:lineRule="auto"/>
        <w:ind w:right="0" w:hanging="335"/>
      </w:pPr>
      <w:r>
        <w:rPr>
          <w:sz w:val="18"/>
        </w:rPr>
        <w:t xml:space="preserve">Buenrostro JD, Giresi PG, Zaba LC, et al. (2013) Transposition of native chromatin for fast and sensitive epigenomic profiling of open chromatin, DNA-binding proteins and nucleosome position. </w:t>
      </w:r>
      <w:r>
        <w:rPr>
          <w:i/>
          <w:sz w:val="18"/>
        </w:rPr>
        <w:t xml:space="preserve">Nat Methods </w:t>
      </w:r>
      <w:r>
        <w:rPr>
          <w:b/>
          <w:sz w:val="18"/>
        </w:rPr>
        <w:t>10</w:t>
      </w:r>
      <w:r>
        <w:rPr>
          <w:sz w:val="18"/>
        </w:rPr>
        <w:t>, 1213–1218.</w:t>
      </w:r>
    </w:p>
    <w:p w:rsidR="003A0C2F" w:rsidRDefault="00F166FB">
      <w:pPr>
        <w:numPr>
          <w:ilvl w:val="0"/>
          <w:numId w:val="14"/>
        </w:numPr>
        <w:spacing w:after="73" w:line="263" w:lineRule="auto"/>
        <w:ind w:right="0" w:hanging="335"/>
      </w:pPr>
      <w:r>
        <w:rPr>
          <w:sz w:val="18"/>
        </w:rPr>
        <w:t>Buenrostro JD, Wu B,</w:t>
      </w:r>
      <w:r>
        <w:rPr>
          <w:sz w:val="18"/>
        </w:rPr>
        <w:t xml:space="preserve"> Litzenburger UM, et al. (2015) Single-cell chromatin accessibility reveals principles of regulatory variation. </w:t>
      </w:r>
      <w:r>
        <w:rPr>
          <w:i/>
          <w:sz w:val="18"/>
        </w:rPr>
        <w:t xml:space="preserve">Nature </w:t>
      </w:r>
      <w:r>
        <w:rPr>
          <w:b/>
          <w:sz w:val="18"/>
        </w:rPr>
        <w:t>523</w:t>
      </w:r>
      <w:r>
        <w:rPr>
          <w:sz w:val="18"/>
        </w:rPr>
        <w:t>(7561):486–490.</w:t>
      </w:r>
    </w:p>
    <w:p w:rsidR="003A0C2F" w:rsidRDefault="00F166FB">
      <w:pPr>
        <w:numPr>
          <w:ilvl w:val="0"/>
          <w:numId w:val="14"/>
        </w:numPr>
        <w:spacing w:after="18" w:line="263" w:lineRule="auto"/>
        <w:ind w:right="0" w:hanging="335"/>
      </w:pPr>
      <w:r>
        <w:rPr>
          <w:sz w:val="18"/>
        </w:rPr>
        <w:t>Cusanovich DA, Daza R, Adey A, et al.</w:t>
      </w:r>
    </w:p>
    <w:p w:rsidR="003A0C2F" w:rsidRDefault="00F166FB">
      <w:pPr>
        <w:spacing w:after="73" w:line="263" w:lineRule="auto"/>
        <w:ind w:left="335" w:right="0" w:firstLine="0"/>
      </w:pPr>
      <w:r>
        <w:rPr>
          <w:sz w:val="18"/>
        </w:rPr>
        <w:t>(2015) Multiplex single cell profiling of chromatin accessibility by combinatori</w:t>
      </w:r>
      <w:r>
        <w:rPr>
          <w:sz w:val="18"/>
        </w:rPr>
        <w:t xml:space="preserve">al cellular indexing. </w:t>
      </w:r>
      <w:r>
        <w:rPr>
          <w:i/>
          <w:sz w:val="18"/>
        </w:rPr>
        <w:t xml:space="preserve">Science </w:t>
      </w:r>
      <w:r>
        <w:rPr>
          <w:b/>
          <w:sz w:val="18"/>
        </w:rPr>
        <w:t>348</w:t>
      </w:r>
      <w:r>
        <w:rPr>
          <w:sz w:val="18"/>
        </w:rPr>
        <w:t>(6237):910–914.</w:t>
      </w:r>
    </w:p>
    <w:p w:rsidR="003A0C2F" w:rsidRDefault="00F166FB">
      <w:pPr>
        <w:numPr>
          <w:ilvl w:val="0"/>
          <w:numId w:val="15"/>
        </w:numPr>
        <w:spacing w:after="73" w:line="263" w:lineRule="auto"/>
        <w:ind w:right="0" w:hanging="335"/>
      </w:pPr>
      <w:r>
        <w:rPr>
          <w:sz w:val="18"/>
        </w:rPr>
        <w:t xml:space="preserve">Chereji RV, Eriksson PR, Ocampo J, Clark DJ. (2019) DNA accessibility is not the primary determinant of chromatin-mediated gene regulation </w:t>
      </w:r>
      <w:r>
        <w:rPr>
          <w:i/>
          <w:sz w:val="18"/>
        </w:rPr>
        <w:t xml:space="preserve">bioRxiv </w:t>
      </w:r>
      <w:r>
        <w:rPr>
          <w:sz w:val="18"/>
        </w:rPr>
        <w:t>639971</w:t>
      </w:r>
    </w:p>
    <w:p w:rsidR="003A0C2F" w:rsidRDefault="00F166FB">
      <w:pPr>
        <w:numPr>
          <w:ilvl w:val="0"/>
          <w:numId w:val="15"/>
        </w:numPr>
        <w:spacing w:after="73" w:line="263" w:lineRule="auto"/>
        <w:ind w:right="0" w:hanging="335"/>
      </w:pPr>
      <w:r>
        <w:rPr>
          <w:sz w:val="18"/>
        </w:rPr>
        <w:t>Ponnaluri VKC, Zhang G, Est´eve PO, et al. (2017) Nic</w:t>
      </w:r>
      <w:r>
        <w:rPr>
          <w:sz w:val="18"/>
        </w:rPr>
        <w:t xml:space="preserve">E-seq: high resolution open chromatin profiling. </w:t>
      </w:r>
      <w:r>
        <w:rPr>
          <w:i/>
          <w:sz w:val="18"/>
        </w:rPr>
        <w:t xml:space="preserve">Genome Biol </w:t>
      </w:r>
      <w:r>
        <w:rPr>
          <w:b/>
          <w:sz w:val="18"/>
        </w:rPr>
        <w:t>18</w:t>
      </w:r>
      <w:r>
        <w:rPr>
          <w:sz w:val="18"/>
        </w:rPr>
        <w:t>(1):122.</w:t>
      </w:r>
    </w:p>
    <w:p w:rsidR="003A0C2F" w:rsidRDefault="00F166FB">
      <w:pPr>
        <w:numPr>
          <w:ilvl w:val="0"/>
          <w:numId w:val="15"/>
        </w:numPr>
        <w:spacing w:after="73" w:line="263" w:lineRule="auto"/>
        <w:ind w:right="0" w:hanging="335"/>
      </w:pPr>
      <w:r>
        <w:rPr>
          <w:sz w:val="18"/>
        </w:rPr>
        <w:t xml:space="preserve">Umeyama T, Ito T. (2017) DMS-Seq for In Vivo Genome-wide Mapping of Protein-DNA Interactions and Nucleosome Centers. </w:t>
      </w:r>
      <w:r>
        <w:rPr>
          <w:i/>
          <w:sz w:val="18"/>
        </w:rPr>
        <w:t xml:space="preserve">Cell Rep </w:t>
      </w:r>
      <w:r>
        <w:rPr>
          <w:b/>
          <w:sz w:val="18"/>
        </w:rPr>
        <w:t>21</w:t>
      </w:r>
      <w:r>
        <w:rPr>
          <w:sz w:val="18"/>
        </w:rPr>
        <w:t>(1):289–300.</w:t>
      </w:r>
    </w:p>
    <w:p w:rsidR="003A0C2F" w:rsidRDefault="00F166FB">
      <w:pPr>
        <w:numPr>
          <w:ilvl w:val="0"/>
          <w:numId w:val="15"/>
        </w:numPr>
        <w:spacing w:after="73" w:line="263" w:lineRule="auto"/>
        <w:ind w:right="0" w:hanging="335"/>
      </w:pPr>
      <w:r>
        <w:rPr>
          <w:sz w:val="18"/>
        </w:rPr>
        <w:t>Timms RT, Tchasovnikarova IA, Lehner PJ. (2</w:t>
      </w:r>
      <w:r>
        <w:rPr>
          <w:sz w:val="18"/>
        </w:rPr>
        <w:t xml:space="preserve">019) Differential viral accessibility (DIVA) identifies alterations in chromatin architecture through large-scale mapping of lentiviral integration sites. </w:t>
      </w:r>
      <w:r>
        <w:rPr>
          <w:i/>
          <w:sz w:val="18"/>
        </w:rPr>
        <w:t xml:space="preserve">Nat Protoc </w:t>
      </w:r>
      <w:r>
        <w:rPr>
          <w:b/>
          <w:sz w:val="18"/>
        </w:rPr>
        <w:t>14</w:t>
      </w:r>
      <w:r>
        <w:rPr>
          <w:sz w:val="18"/>
        </w:rPr>
        <w:t>(1):153–170.</w:t>
      </w:r>
    </w:p>
    <w:p w:rsidR="003A0C2F" w:rsidRDefault="00F166FB">
      <w:pPr>
        <w:numPr>
          <w:ilvl w:val="0"/>
          <w:numId w:val="15"/>
        </w:numPr>
        <w:spacing w:after="6" w:line="263" w:lineRule="auto"/>
        <w:ind w:right="0" w:hanging="335"/>
      </w:pPr>
      <w:r>
        <w:rPr>
          <w:sz w:val="18"/>
        </w:rPr>
        <w:lastRenderedPageBreak/>
        <w:t>Kelly TK, Liu Y, Lay FD, et al. (2012) Genome-wide mapping of nucleosome po</w:t>
      </w:r>
      <w:r>
        <w:rPr>
          <w:sz w:val="18"/>
        </w:rPr>
        <w:t xml:space="preserve">sitioning and DNA methylation within individual DNA molecules. </w:t>
      </w:r>
      <w:r>
        <w:rPr>
          <w:i/>
          <w:sz w:val="18"/>
        </w:rPr>
        <w:t>Genome Res</w:t>
      </w:r>
    </w:p>
    <w:p w:rsidR="003A0C2F" w:rsidRDefault="00F166FB">
      <w:pPr>
        <w:spacing w:after="73" w:line="263" w:lineRule="auto"/>
        <w:ind w:left="335" w:right="0" w:firstLine="0"/>
      </w:pPr>
      <w:r>
        <w:rPr>
          <w:b/>
          <w:sz w:val="18"/>
        </w:rPr>
        <w:t>22</w:t>
      </w:r>
      <w:r>
        <w:rPr>
          <w:sz w:val="18"/>
        </w:rPr>
        <w:t>(12):2497–2506.</w:t>
      </w:r>
    </w:p>
    <w:p w:rsidR="003A0C2F" w:rsidRDefault="00F166FB">
      <w:pPr>
        <w:numPr>
          <w:ilvl w:val="0"/>
          <w:numId w:val="15"/>
        </w:numPr>
        <w:spacing w:after="73" w:line="263" w:lineRule="auto"/>
        <w:ind w:right="0" w:hanging="335"/>
      </w:pPr>
      <w:r>
        <w:rPr>
          <w:sz w:val="18"/>
        </w:rPr>
        <w:t xml:space="preserve">Krebs AR, Imanci D, Hoerner L, Gaidatzis D, et al. (2017) Genome-wide Single-Molecule Footprinting Reveals High RNA Polymerase II Turnover at Paused Promoters. </w:t>
      </w:r>
      <w:r>
        <w:rPr>
          <w:i/>
          <w:sz w:val="18"/>
        </w:rPr>
        <w:t xml:space="preserve">Mol </w:t>
      </w:r>
      <w:r>
        <w:rPr>
          <w:i/>
          <w:sz w:val="18"/>
        </w:rPr>
        <w:t xml:space="preserve">Cell </w:t>
      </w:r>
      <w:r>
        <w:rPr>
          <w:b/>
          <w:sz w:val="18"/>
        </w:rPr>
        <w:t>67</w:t>
      </w:r>
      <w:r>
        <w:rPr>
          <w:sz w:val="18"/>
        </w:rPr>
        <w:t>(3):411–422.e4.</w:t>
      </w:r>
    </w:p>
    <w:p w:rsidR="003A0C2F" w:rsidRDefault="00F166FB">
      <w:pPr>
        <w:numPr>
          <w:ilvl w:val="0"/>
          <w:numId w:val="15"/>
        </w:numPr>
        <w:spacing w:after="6" w:line="263" w:lineRule="auto"/>
        <w:ind w:right="0" w:hanging="335"/>
      </w:pPr>
      <w:r>
        <w:rPr>
          <w:sz w:val="18"/>
        </w:rPr>
        <w:t xml:space="preserve">Vaisvila R, Ponnaluri VKC, Sun Z, et al. (2019) EM-seq: Detection of DNA Methylation at Single Base Resolution from Picograms of DNA. </w:t>
      </w:r>
      <w:r>
        <w:rPr>
          <w:i/>
          <w:sz w:val="18"/>
        </w:rPr>
        <w:t>bioRxiv</w:t>
      </w:r>
    </w:p>
    <w:p w:rsidR="003A0C2F" w:rsidRDefault="00F166FB">
      <w:pPr>
        <w:spacing w:after="73" w:line="263" w:lineRule="auto"/>
        <w:ind w:left="454" w:right="0" w:firstLine="0"/>
      </w:pPr>
      <w:r>
        <w:rPr>
          <w:sz w:val="18"/>
        </w:rPr>
        <w:t>2019.12.20.884692</w:t>
      </w:r>
    </w:p>
    <w:p w:rsidR="003A0C2F" w:rsidRDefault="00F166FB">
      <w:pPr>
        <w:numPr>
          <w:ilvl w:val="0"/>
          <w:numId w:val="15"/>
        </w:numPr>
        <w:spacing w:after="73" w:line="263" w:lineRule="auto"/>
        <w:ind w:right="0" w:hanging="335"/>
      </w:pPr>
      <w:r>
        <w:rPr>
          <w:sz w:val="18"/>
        </w:rPr>
        <w:t xml:space="preserve">Simpson JT, Workman RE, Zuzarte PC, et al. (2017) Detecting DNA cytosine methylation using nanopore sequencing. </w:t>
      </w:r>
      <w:r>
        <w:rPr>
          <w:i/>
          <w:sz w:val="18"/>
        </w:rPr>
        <w:t xml:space="preserve">Nat Methods </w:t>
      </w:r>
      <w:r>
        <w:rPr>
          <w:b/>
          <w:sz w:val="18"/>
        </w:rPr>
        <w:t>14</w:t>
      </w:r>
      <w:r>
        <w:rPr>
          <w:sz w:val="18"/>
        </w:rPr>
        <w:t>, 407–410.</w:t>
      </w:r>
    </w:p>
    <w:p w:rsidR="003A0C2F" w:rsidRDefault="00F166FB">
      <w:pPr>
        <w:numPr>
          <w:ilvl w:val="0"/>
          <w:numId w:val="15"/>
        </w:numPr>
        <w:spacing w:after="18" w:line="263" w:lineRule="auto"/>
        <w:ind w:right="0" w:hanging="335"/>
      </w:pPr>
      <w:r>
        <w:rPr>
          <w:sz w:val="18"/>
        </w:rPr>
        <w:t>Rand AC, Jain M, Eizenga JM, et al.</w:t>
      </w:r>
    </w:p>
    <w:p w:rsidR="003A0C2F" w:rsidRDefault="00F166FB">
      <w:pPr>
        <w:spacing w:after="73" w:line="263" w:lineRule="auto"/>
        <w:ind w:left="454" w:right="0" w:firstLine="0"/>
      </w:pPr>
      <w:r>
        <w:rPr>
          <w:sz w:val="18"/>
        </w:rPr>
        <w:t xml:space="preserve">(2017) Mapping DNA methylation with highthroughput nanopore sequencing. </w:t>
      </w:r>
      <w:r>
        <w:rPr>
          <w:i/>
          <w:sz w:val="18"/>
        </w:rPr>
        <w:t>Nat Methods</w:t>
      </w:r>
      <w:r>
        <w:rPr>
          <w:i/>
          <w:sz w:val="18"/>
        </w:rPr>
        <w:t xml:space="preserve"> </w:t>
      </w:r>
      <w:r>
        <w:rPr>
          <w:b/>
          <w:sz w:val="18"/>
        </w:rPr>
        <w:t>14</w:t>
      </w:r>
      <w:r>
        <w:rPr>
          <w:sz w:val="18"/>
        </w:rPr>
        <w:t>, 411–413.</w:t>
      </w:r>
    </w:p>
    <w:p w:rsidR="003A0C2F" w:rsidRDefault="00F166FB">
      <w:pPr>
        <w:numPr>
          <w:ilvl w:val="0"/>
          <w:numId w:val="15"/>
        </w:numPr>
        <w:spacing w:after="73" w:line="263" w:lineRule="auto"/>
        <w:ind w:right="0" w:hanging="335"/>
      </w:pPr>
      <w:r>
        <w:rPr>
          <w:sz w:val="18"/>
        </w:rPr>
        <w:t xml:space="preserve">Shipony Z, Marinov GK, Swaffer MP, et al. (2020) Long-range single-molecule mapping of chromatin accessibility in eukaryotes. </w:t>
      </w:r>
      <w:r>
        <w:rPr>
          <w:i/>
          <w:sz w:val="18"/>
        </w:rPr>
        <w:t xml:space="preserve">Nat Methods </w:t>
      </w:r>
      <w:r>
        <w:rPr>
          <w:b/>
          <w:sz w:val="18"/>
        </w:rPr>
        <w:t>17</w:t>
      </w:r>
      <w:r>
        <w:rPr>
          <w:sz w:val="18"/>
        </w:rPr>
        <w:t>, 319–327.</w:t>
      </w:r>
    </w:p>
    <w:p w:rsidR="003A0C2F" w:rsidRDefault="00F166FB">
      <w:pPr>
        <w:numPr>
          <w:ilvl w:val="0"/>
          <w:numId w:val="15"/>
        </w:numPr>
        <w:spacing w:after="73" w:line="263" w:lineRule="auto"/>
        <w:ind w:right="0" w:hanging="335"/>
      </w:pPr>
      <w:r>
        <w:rPr>
          <w:sz w:val="18"/>
        </w:rPr>
        <w:t>Wang Y, Wang A, Liu Z, et al. (2019) Singlemolecule long-read sequencing reveals the chroma</w:t>
      </w:r>
      <w:r>
        <w:rPr>
          <w:sz w:val="18"/>
        </w:rPr>
        <w:t xml:space="preserve">tin basis of gene expression. </w:t>
      </w:r>
      <w:r>
        <w:rPr>
          <w:i/>
          <w:sz w:val="18"/>
        </w:rPr>
        <w:t xml:space="preserve">Genome Res </w:t>
      </w:r>
      <w:r>
        <w:rPr>
          <w:b/>
          <w:sz w:val="18"/>
        </w:rPr>
        <w:t>29</w:t>
      </w:r>
      <w:r>
        <w:rPr>
          <w:sz w:val="18"/>
        </w:rPr>
        <w:t>, 1329–1342.</w:t>
      </w:r>
    </w:p>
    <w:p w:rsidR="003A0C2F" w:rsidRDefault="00F166FB">
      <w:pPr>
        <w:numPr>
          <w:ilvl w:val="0"/>
          <w:numId w:val="15"/>
        </w:numPr>
        <w:spacing w:after="73" w:line="263" w:lineRule="auto"/>
        <w:ind w:right="0" w:hanging="335"/>
      </w:pPr>
      <w:r>
        <w:rPr>
          <w:sz w:val="18"/>
        </w:rPr>
        <w:t xml:space="preserve">Aughey GN, Estacio Gomez A, Thomson J, et al. (2018) CATaDa reveals global remodelling of chromatin accessibility during stem cell differentiation in vivo. </w:t>
      </w:r>
      <w:r>
        <w:rPr>
          <w:i/>
          <w:sz w:val="18"/>
        </w:rPr>
        <w:t xml:space="preserve">Elife </w:t>
      </w:r>
      <w:r>
        <w:rPr>
          <w:b/>
          <w:sz w:val="18"/>
        </w:rPr>
        <w:t>7</w:t>
      </w:r>
      <w:r>
        <w:rPr>
          <w:sz w:val="18"/>
        </w:rPr>
        <w:t>. pii: e32341.</w:t>
      </w:r>
    </w:p>
    <w:p w:rsidR="003A0C2F" w:rsidRDefault="00F166FB">
      <w:pPr>
        <w:numPr>
          <w:ilvl w:val="0"/>
          <w:numId w:val="15"/>
        </w:numPr>
        <w:spacing w:after="73" w:line="263" w:lineRule="auto"/>
        <w:ind w:right="0" w:hanging="335"/>
      </w:pPr>
      <w:r>
        <w:rPr>
          <w:sz w:val="18"/>
        </w:rPr>
        <w:t xml:space="preserve">Schones DE, Cui K, Cuddapah S, et al. (2008) Dynamic regulation of nucleosome positioning in the human genome. </w:t>
      </w:r>
      <w:r>
        <w:rPr>
          <w:i/>
          <w:sz w:val="18"/>
        </w:rPr>
        <w:t xml:space="preserve">Cell </w:t>
      </w:r>
      <w:r>
        <w:rPr>
          <w:b/>
          <w:sz w:val="18"/>
        </w:rPr>
        <w:t>132</w:t>
      </w:r>
      <w:r>
        <w:rPr>
          <w:sz w:val="18"/>
        </w:rPr>
        <w:t>, 887–898.</w:t>
      </w:r>
    </w:p>
    <w:p w:rsidR="003A0C2F" w:rsidRDefault="00F166FB">
      <w:pPr>
        <w:numPr>
          <w:ilvl w:val="0"/>
          <w:numId w:val="15"/>
        </w:numPr>
        <w:spacing w:after="73" w:line="263" w:lineRule="auto"/>
        <w:ind w:right="0" w:hanging="335"/>
      </w:pPr>
      <w:r>
        <w:rPr>
          <w:sz w:val="18"/>
        </w:rPr>
        <w:t>Hesselberth JR, Chen X, Zhang Z, et al. (2009) Global mapping of protein-DNA interactions in vivo by digital genomic footprint</w:t>
      </w:r>
      <w:r>
        <w:rPr>
          <w:sz w:val="18"/>
        </w:rPr>
        <w:t xml:space="preserve">ing. </w:t>
      </w:r>
      <w:r>
        <w:rPr>
          <w:i/>
          <w:sz w:val="18"/>
        </w:rPr>
        <w:t xml:space="preserve">Nat Methods </w:t>
      </w:r>
      <w:r>
        <w:rPr>
          <w:b/>
          <w:sz w:val="18"/>
        </w:rPr>
        <w:t>6</w:t>
      </w:r>
      <w:r>
        <w:rPr>
          <w:sz w:val="18"/>
        </w:rPr>
        <w:t>(4):283–289.</w:t>
      </w:r>
    </w:p>
    <w:p w:rsidR="003A0C2F" w:rsidRDefault="00F166FB">
      <w:pPr>
        <w:numPr>
          <w:ilvl w:val="0"/>
          <w:numId w:val="15"/>
        </w:numPr>
        <w:spacing w:after="73" w:line="263" w:lineRule="auto"/>
        <w:ind w:right="0" w:hanging="335"/>
      </w:pPr>
      <w:r>
        <w:rPr>
          <w:sz w:val="18"/>
        </w:rPr>
        <w:t xml:space="preserve">Neph S, Vierstra J, Stergachis AB, et al. (2012) An expansive human regulatory lexicon encoded in transcription factor footprints. </w:t>
      </w:r>
      <w:r>
        <w:rPr>
          <w:i/>
          <w:sz w:val="18"/>
        </w:rPr>
        <w:t xml:space="preserve">Nature </w:t>
      </w:r>
      <w:r>
        <w:rPr>
          <w:b/>
          <w:sz w:val="18"/>
        </w:rPr>
        <w:t>489</w:t>
      </w:r>
      <w:r>
        <w:rPr>
          <w:sz w:val="18"/>
        </w:rPr>
        <w:t>, 83–90.</w:t>
      </w:r>
    </w:p>
    <w:p w:rsidR="003A0C2F" w:rsidRDefault="00F166FB">
      <w:pPr>
        <w:numPr>
          <w:ilvl w:val="0"/>
          <w:numId w:val="15"/>
        </w:numPr>
        <w:spacing w:after="73" w:line="263" w:lineRule="auto"/>
        <w:ind w:right="0" w:hanging="335"/>
      </w:pPr>
      <w:r>
        <w:rPr>
          <w:sz w:val="18"/>
        </w:rPr>
        <w:t xml:space="preserve">Murray IA, Morgan RD, Luyten Y, et al. (2018) The non-specific adenine DNA </w:t>
      </w:r>
      <w:r>
        <w:rPr>
          <w:sz w:val="18"/>
        </w:rPr>
        <w:t xml:space="preserve">methyltransferase M.EcoGII. </w:t>
      </w:r>
      <w:r>
        <w:rPr>
          <w:i/>
          <w:sz w:val="18"/>
        </w:rPr>
        <w:t xml:space="preserve">Nucleic Acids Res </w:t>
      </w:r>
      <w:r>
        <w:rPr>
          <w:b/>
          <w:sz w:val="18"/>
        </w:rPr>
        <w:t>46</w:t>
      </w:r>
      <w:r>
        <w:rPr>
          <w:sz w:val="18"/>
        </w:rPr>
        <w:t>, 840–848.</w:t>
      </w:r>
    </w:p>
    <w:p w:rsidR="003A0C2F" w:rsidRDefault="00F166FB">
      <w:pPr>
        <w:numPr>
          <w:ilvl w:val="0"/>
          <w:numId w:val="15"/>
        </w:numPr>
        <w:spacing w:after="73" w:line="263" w:lineRule="auto"/>
        <w:ind w:right="0" w:hanging="335"/>
      </w:pPr>
      <w:r>
        <w:rPr>
          <w:sz w:val="18"/>
        </w:rPr>
        <w:t xml:space="preserve">ENCODE Project Consortium. (2012) An integrated encyclopedia of DNA elements in the human genome. </w:t>
      </w:r>
      <w:r>
        <w:rPr>
          <w:i/>
          <w:sz w:val="18"/>
        </w:rPr>
        <w:t xml:space="preserve">Nature </w:t>
      </w:r>
      <w:r>
        <w:rPr>
          <w:b/>
          <w:sz w:val="18"/>
        </w:rPr>
        <w:t>489</w:t>
      </w:r>
      <w:r>
        <w:rPr>
          <w:sz w:val="18"/>
        </w:rPr>
        <w:t>, 57–74.</w:t>
      </w:r>
    </w:p>
    <w:p w:rsidR="003A0C2F" w:rsidRDefault="00F166FB">
      <w:pPr>
        <w:numPr>
          <w:ilvl w:val="0"/>
          <w:numId w:val="15"/>
        </w:numPr>
        <w:spacing w:after="73" w:line="263" w:lineRule="auto"/>
        <w:ind w:right="0" w:hanging="335"/>
      </w:pPr>
      <w:r>
        <w:rPr>
          <w:sz w:val="18"/>
        </w:rPr>
        <w:t>Kuhn RM, Haussler D, Kent WJ (2013) The UCSC genome browser and associated tools</w:t>
      </w:r>
      <w:r>
        <w:rPr>
          <w:sz w:val="18"/>
        </w:rPr>
        <w:t xml:space="preserve">. </w:t>
      </w:r>
      <w:r>
        <w:rPr>
          <w:i/>
          <w:sz w:val="18"/>
        </w:rPr>
        <w:t xml:space="preserve">Brief Bioinform </w:t>
      </w:r>
      <w:r>
        <w:rPr>
          <w:b/>
          <w:sz w:val="18"/>
        </w:rPr>
        <w:t>14</w:t>
      </w:r>
      <w:r>
        <w:rPr>
          <w:sz w:val="18"/>
        </w:rPr>
        <w:t>, 144–161.</w:t>
      </w:r>
    </w:p>
    <w:p w:rsidR="003A0C2F" w:rsidRDefault="00F166FB">
      <w:pPr>
        <w:numPr>
          <w:ilvl w:val="0"/>
          <w:numId w:val="15"/>
        </w:numPr>
        <w:spacing w:after="73" w:line="263" w:lineRule="auto"/>
        <w:ind w:right="0" w:hanging="335"/>
      </w:pPr>
      <w:r>
        <w:rPr>
          <w:sz w:val="18"/>
        </w:rPr>
        <w:t xml:space="preserve">Kent WJ, Zweig AS, Barber G, et al. (2010) BigWig and BigBed: enabling browsing of large distributed datasets. </w:t>
      </w:r>
      <w:r>
        <w:rPr>
          <w:i/>
          <w:sz w:val="18"/>
        </w:rPr>
        <w:t xml:space="preserve">Bioinformatics </w:t>
      </w:r>
      <w:r>
        <w:rPr>
          <w:b/>
          <w:sz w:val="18"/>
        </w:rPr>
        <w:t>26</w:t>
      </w:r>
      <w:r>
        <w:rPr>
          <w:sz w:val="18"/>
        </w:rPr>
        <w:t>, 2204–2207.</w:t>
      </w:r>
    </w:p>
    <w:p w:rsidR="003A0C2F" w:rsidRDefault="00F166FB">
      <w:pPr>
        <w:numPr>
          <w:ilvl w:val="0"/>
          <w:numId w:val="15"/>
        </w:numPr>
        <w:spacing w:after="73" w:line="263" w:lineRule="auto"/>
        <w:ind w:right="0" w:hanging="335"/>
      </w:pPr>
      <w:r>
        <w:rPr>
          <w:sz w:val="18"/>
        </w:rPr>
        <w:t>Li H. 2016. Minimap and miniasm: fast mapping and de novo assembly for noisy long se</w:t>
      </w:r>
      <w:r>
        <w:rPr>
          <w:sz w:val="18"/>
        </w:rPr>
        <w:t xml:space="preserve">quences. </w:t>
      </w:r>
      <w:r>
        <w:rPr>
          <w:i/>
          <w:sz w:val="18"/>
        </w:rPr>
        <w:t xml:space="preserve">Bioinformatics </w:t>
      </w:r>
      <w:r>
        <w:rPr>
          <w:b/>
          <w:sz w:val="18"/>
        </w:rPr>
        <w:t>32</w:t>
      </w:r>
      <w:r>
        <w:rPr>
          <w:sz w:val="18"/>
        </w:rPr>
        <w:t>(14):2103–2110.</w:t>
      </w:r>
    </w:p>
    <w:p w:rsidR="003A0C2F" w:rsidRDefault="00F166FB">
      <w:pPr>
        <w:numPr>
          <w:ilvl w:val="0"/>
          <w:numId w:val="15"/>
        </w:numPr>
        <w:spacing w:after="73" w:line="263" w:lineRule="auto"/>
        <w:ind w:right="0" w:hanging="335"/>
      </w:pPr>
      <w:r>
        <w:rPr>
          <w:sz w:val="18"/>
        </w:rPr>
        <w:t xml:space="preserve">Stoiber MH, Quick J, Egan R, Lee JE, Celniker SE, Neely R, Loman N, Pennacchio L, Brown JB. 2017. De novo Identification of DNA Modifications Enabled by GenomeGuided Nanopore Signal Processing. </w:t>
      </w:r>
      <w:r>
        <w:rPr>
          <w:i/>
          <w:sz w:val="18"/>
        </w:rPr>
        <w:t xml:space="preserve">bioRxiv </w:t>
      </w:r>
      <w:r>
        <w:rPr>
          <w:sz w:val="18"/>
        </w:rPr>
        <w:t>094672</w:t>
      </w:r>
    </w:p>
    <w:p w:rsidR="003A0C2F" w:rsidRDefault="00F166FB">
      <w:pPr>
        <w:numPr>
          <w:ilvl w:val="0"/>
          <w:numId w:val="15"/>
        </w:numPr>
        <w:spacing w:after="73" w:line="263" w:lineRule="auto"/>
        <w:ind w:right="0" w:hanging="335"/>
      </w:pPr>
      <w:r>
        <w:rPr>
          <w:sz w:val="18"/>
        </w:rPr>
        <w:t>Krueg</w:t>
      </w:r>
      <w:r>
        <w:rPr>
          <w:sz w:val="18"/>
        </w:rPr>
        <w:t xml:space="preserve">er F, Andrews SR. 2011. Bismark: a flexible aligner and methylation caller for Bisulfite-Seq applications. </w:t>
      </w:r>
      <w:r>
        <w:rPr>
          <w:i/>
          <w:sz w:val="18"/>
        </w:rPr>
        <w:t xml:space="preserve">Bioinformatics </w:t>
      </w:r>
      <w:r>
        <w:rPr>
          <w:b/>
          <w:sz w:val="18"/>
        </w:rPr>
        <w:t>27</w:t>
      </w:r>
      <w:r>
        <w:rPr>
          <w:sz w:val="18"/>
        </w:rPr>
        <w:t>(11):1571–1572.</w:t>
      </w:r>
    </w:p>
    <w:p w:rsidR="003A0C2F" w:rsidRDefault="00F166FB">
      <w:pPr>
        <w:numPr>
          <w:ilvl w:val="0"/>
          <w:numId w:val="15"/>
        </w:numPr>
        <w:spacing w:after="73" w:line="263" w:lineRule="auto"/>
        <w:ind w:right="0" w:hanging="335"/>
      </w:pPr>
      <w:r>
        <w:rPr>
          <w:sz w:val="18"/>
        </w:rPr>
        <w:t xml:space="preserve">Brogaard K, Xi L, Wang JP, Widom J. 2012. A map of nucleosome positions in yeast at base-pair resolution. </w:t>
      </w:r>
      <w:r>
        <w:rPr>
          <w:i/>
          <w:sz w:val="18"/>
        </w:rPr>
        <w:t xml:space="preserve">Nature </w:t>
      </w:r>
      <w:r>
        <w:rPr>
          <w:b/>
          <w:sz w:val="18"/>
        </w:rPr>
        <w:t>486</w:t>
      </w:r>
      <w:r>
        <w:rPr>
          <w:sz w:val="18"/>
        </w:rPr>
        <w:t>(7404):496– 501.</w:t>
      </w:r>
    </w:p>
    <w:p w:rsidR="003A0C2F" w:rsidRDefault="00F166FB">
      <w:pPr>
        <w:numPr>
          <w:ilvl w:val="0"/>
          <w:numId w:val="15"/>
        </w:numPr>
        <w:spacing w:after="73" w:line="263" w:lineRule="auto"/>
        <w:ind w:right="0" w:hanging="335"/>
      </w:pPr>
      <w:r>
        <w:rPr>
          <w:sz w:val="18"/>
        </w:rPr>
        <w:t xml:space="preserve">Fu Y, Sinha M, Peterson CL, Weng Z. 2008. The insulator binding protein CTCF positions 20 nucleosomes around its binding sites across the human genome. </w:t>
      </w:r>
      <w:r>
        <w:rPr>
          <w:i/>
          <w:sz w:val="18"/>
        </w:rPr>
        <w:t xml:space="preserve">PLoS Genet </w:t>
      </w:r>
      <w:r>
        <w:rPr>
          <w:b/>
          <w:sz w:val="18"/>
        </w:rPr>
        <w:t>4</w:t>
      </w:r>
      <w:r>
        <w:rPr>
          <w:sz w:val="18"/>
        </w:rPr>
        <w:t>(7):e1000138.</w:t>
      </w:r>
    </w:p>
    <w:p w:rsidR="003A0C2F" w:rsidRDefault="00F166FB">
      <w:pPr>
        <w:numPr>
          <w:ilvl w:val="0"/>
          <w:numId w:val="15"/>
        </w:numPr>
        <w:spacing w:after="73" w:line="263" w:lineRule="auto"/>
        <w:ind w:right="0" w:hanging="335"/>
      </w:pPr>
      <w:r>
        <w:rPr>
          <w:sz w:val="18"/>
        </w:rPr>
        <w:t xml:space="preserve">Conconi A, Widmer RM, Koller T, Sogo JM. 1989. Two different </w:t>
      </w:r>
      <w:r>
        <w:rPr>
          <w:sz w:val="18"/>
        </w:rPr>
        <w:t xml:space="preserve">chromatin structures coexist in ribosomal RNA genes throughout the cell cycle. </w:t>
      </w:r>
      <w:r>
        <w:rPr>
          <w:i/>
          <w:sz w:val="18"/>
        </w:rPr>
        <w:t xml:space="preserve">Cell </w:t>
      </w:r>
      <w:r>
        <w:rPr>
          <w:b/>
          <w:sz w:val="18"/>
        </w:rPr>
        <w:t>57</w:t>
      </w:r>
      <w:r>
        <w:rPr>
          <w:sz w:val="18"/>
        </w:rPr>
        <w:t>(5):753–761.</w:t>
      </w:r>
    </w:p>
    <w:p w:rsidR="003A0C2F" w:rsidRDefault="00F166FB">
      <w:pPr>
        <w:numPr>
          <w:ilvl w:val="0"/>
          <w:numId w:val="15"/>
        </w:numPr>
        <w:spacing w:after="73" w:line="263" w:lineRule="auto"/>
        <w:ind w:right="0" w:hanging="335"/>
      </w:pPr>
      <w:r>
        <w:rPr>
          <w:sz w:val="18"/>
        </w:rPr>
        <w:t xml:space="preserve">Goetze H, Wittner M, Hamperl S, Hondele M, Merz K, Stoeckl U, Griesenbeck J. 2010. Alternative chromatin structures of the 35S rRNA genes in </w:t>
      </w:r>
      <w:r>
        <w:rPr>
          <w:i/>
          <w:sz w:val="18"/>
        </w:rPr>
        <w:t>Saccharomyces ce</w:t>
      </w:r>
      <w:r>
        <w:rPr>
          <w:i/>
          <w:sz w:val="18"/>
        </w:rPr>
        <w:t xml:space="preserve">revisiae </w:t>
      </w:r>
      <w:r>
        <w:rPr>
          <w:sz w:val="18"/>
        </w:rPr>
        <w:t xml:space="preserve">provide a molecular basis for the selective recruitment of RNA polymerases I and II. </w:t>
      </w:r>
      <w:r>
        <w:rPr>
          <w:i/>
          <w:sz w:val="18"/>
        </w:rPr>
        <w:t xml:space="preserve">Mol Cell Biol </w:t>
      </w:r>
      <w:r>
        <w:rPr>
          <w:b/>
          <w:sz w:val="18"/>
        </w:rPr>
        <w:t>30</w:t>
      </w:r>
      <w:r>
        <w:rPr>
          <w:sz w:val="18"/>
        </w:rPr>
        <w:t>(8):2028–2045.</w:t>
      </w:r>
    </w:p>
    <w:p w:rsidR="003A0C2F" w:rsidRDefault="00F166FB">
      <w:pPr>
        <w:numPr>
          <w:ilvl w:val="0"/>
          <w:numId w:val="15"/>
        </w:numPr>
        <w:spacing w:after="73" w:line="263" w:lineRule="auto"/>
        <w:ind w:right="0" w:hanging="335"/>
      </w:pPr>
      <w:r>
        <w:rPr>
          <w:sz w:val="18"/>
        </w:rPr>
        <w:t xml:space="preserve">Schep AN, Buenrostro JD, Denny SK, et al. (2015) Structured nucleosome fingerprints enable high-resolution mapping of chromatin </w:t>
      </w:r>
      <w:r>
        <w:rPr>
          <w:sz w:val="18"/>
        </w:rPr>
        <w:lastRenderedPageBreak/>
        <w:t>arc</w:t>
      </w:r>
      <w:r>
        <w:rPr>
          <w:sz w:val="18"/>
        </w:rPr>
        <w:t xml:space="preserve">hitecture within regulatory regions. </w:t>
      </w:r>
      <w:r>
        <w:rPr>
          <w:i/>
          <w:sz w:val="18"/>
        </w:rPr>
        <w:t xml:space="preserve">Genome Res </w:t>
      </w:r>
      <w:r>
        <w:rPr>
          <w:b/>
          <w:sz w:val="18"/>
        </w:rPr>
        <w:t>25</w:t>
      </w:r>
      <w:r>
        <w:rPr>
          <w:sz w:val="18"/>
        </w:rPr>
        <w:t>, 1757–1770.</w:t>
      </w:r>
    </w:p>
    <w:sectPr w:rsidR="003A0C2F">
      <w:footnotePr>
        <w:numRestart w:val="eachPage"/>
      </w:footnotePr>
      <w:type w:val="continuous"/>
      <w:pgSz w:w="10205" w:h="14173"/>
      <w:pgMar w:top="1322" w:right="964" w:bottom="1196" w:left="964" w:header="720" w:footer="720" w:gutter="0"/>
      <w:cols w:num="2" w:space="2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6FB" w:rsidRDefault="00F166FB">
      <w:pPr>
        <w:spacing w:after="0" w:line="240" w:lineRule="auto"/>
      </w:pPr>
      <w:r>
        <w:separator/>
      </w:r>
    </w:p>
  </w:endnote>
  <w:endnote w:type="continuationSeparator" w:id="0">
    <w:p w:rsidR="00F166FB" w:rsidRDefault="00F1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2F" w:rsidRDefault="00F166FB">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2F" w:rsidRDefault="00F166FB">
    <w:pPr>
      <w:spacing w:after="0" w:line="259" w:lineRule="auto"/>
      <w:ind w:left="0" w:firstLine="0"/>
      <w:jc w:val="center"/>
    </w:pPr>
    <w:r>
      <w:fldChar w:fldCharType="begin"/>
    </w:r>
    <w:r>
      <w:instrText xml:space="preserve"> PAGE   \* MERGEFORMAT </w:instrText>
    </w:r>
    <w:r>
      <w:fldChar w:fldCharType="separate"/>
    </w:r>
    <w:r w:rsidR="00BB4C2D">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2F" w:rsidRDefault="00F166FB">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6FB" w:rsidRDefault="00F166FB">
      <w:pPr>
        <w:spacing w:after="0" w:line="259" w:lineRule="auto"/>
        <w:ind w:left="0" w:right="0" w:firstLine="0"/>
        <w:jc w:val="left"/>
      </w:pPr>
      <w:r>
        <w:separator/>
      </w:r>
    </w:p>
  </w:footnote>
  <w:footnote w:type="continuationSeparator" w:id="0">
    <w:p w:rsidR="00F166FB" w:rsidRDefault="00F166FB">
      <w:pPr>
        <w:spacing w:after="0" w:line="259" w:lineRule="auto"/>
        <w:ind w:left="0" w:right="0" w:firstLine="0"/>
        <w:jc w:val="left"/>
      </w:pPr>
      <w:r>
        <w:continuationSeparator/>
      </w:r>
    </w:p>
  </w:footnote>
  <w:footnote w:id="1">
    <w:p w:rsidR="003A0C2F" w:rsidRDefault="00F166FB">
      <w:pPr>
        <w:pStyle w:val="footnotedescription"/>
        <w:ind w:left="0" w:right="0"/>
      </w:pPr>
      <w:r>
        <w:rPr>
          <w:rStyle w:val="footnotemark"/>
        </w:rPr>
        <w:footnoteRef/>
      </w:r>
      <w:r>
        <w:t xml:space="preserve"> </w:t>
      </w:r>
      <w:r>
        <w:rPr>
          <w:rFonts w:ascii="Calibri" w:eastAsia="Calibri" w:hAnsi="Calibri" w:cs="Calibri"/>
          <w:b/>
        </w:rPr>
        <w:t>Introduction</w:t>
      </w:r>
    </w:p>
    <w:p w:rsidR="003A0C2F" w:rsidRDefault="00F166FB">
      <w:pPr>
        <w:pStyle w:val="footnotedescription"/>
        <w:spacing w:line="244" w:lineRule="auto"/>
        <w:jc w:val="both"/>
      </w:pPr>
      <w:r>
        <w:t xml:space="preserve">Chromatin accessibility is a key feature of the regulation of gene expression and many other aspects of chromatin biology in eukaryotes. Nearly all eukaryote genomes are packaged by nucleosomes, with each nucleosome being a dimer of two tetramers composed </w:t>
      </w:r>
      <w:r>
        <w:t>of the four core nucleosomal histones H3, H4, H2A and H2B. Packaging by nucleosomes has a generally inhibitory effect on RNA polymerase activity and to the occupancy of DNA by regulatory proteins. Accordingly, active regulatory regions in the genome are ch</w:t>
      </w:r>
      <w:r>
        <w:t>aracterized by depleted nucleosomal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B38"/>
    <w:multiLevelType w:val="hybridMultilevel"/>
    <w:tmpl w:val="41803F86"/>
    <w:lvl w:ilvl="0" w:tplc="642C6728">
      <w:start w:val="1"/>
      <w:numFmt w:val="decimal"/>
      <w:lvlText w:val="%1."/>
      <w:lvlJc w:val="left"/>
      <w:pPr>
        <w:ind w:left="4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F0884F2A">
      <w:start w:val="1"/>
      <w:numFmt w:val="lowerLetter"/>
      <w:lvlText w:val="%2"/>
      <w:lvlJc w:val="left"/>
      <w:pPr>
        <w:ind w:left="1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16ED7AE">
      <w:start w:val="1"/>
      <w:numFmt w:val="lowerRoman"/>
      <w:lvlText w:val="%3"/>
      <w:lvlJc w:val="left"/>
      <w:pPr>
        <w:ind w:left="19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ED46551C">
      <w:start w:val="1"/>
      <w:numFmt w:val="decimal"/>
      <w:lvlText w:val="%4"/>
      <w:lvlJc w:val="left"/>
      <w:pPr>
        <w:ind w:left="27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898CAE6">
      <w:start w:val="1"/>
      <w:numFmt w:val="lowerLetter"/>
      <w:lvlText w:val="%5"/>
      <w:lvlJc w:val="left"/>
      <w:pPr>
        <w:ind w:left="34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86DC3694">
      <w:start w:val="1"/>
      <w:numFmt w:val="lowerRoman"/>
      <w:lvlText w:val="%6"/>
      <w:lvlJc w:val="left"/>
      <w:pPr>
        <w:ind w:left="41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F121EE0">
      <w:start w:val="1"/>
      <w:numFmt w:val="decimal"/>
      <w:lvlText w:val="%7"/>
      <w:lvlJc w:val="left"/>
      <w:pPr>
        <w:ind w:left="48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DAE6FB2">
      <w:start w:val="1"/>
      <w:numFmt w:val="lowerLetter"/>
      <w:lvlText w:val="%8"/>
      <w:lvlJc w:val="left"/>
      <w:pPr>
        <w:ind w:left="55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548D296">
      <w:start w:val="1"/>
      <w:numFmt w:val="lowerRoman"/>
      <w:lvlText w:val="%9"/>
      <w:lvlJc w:val="left"/>
      <w:pPr>
        <w:ind w:left="63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B816FE"/>
    <w:multiLevelType w:val="hybridMultilevel"/>
    <w:tmpl w:val="73309346"/>
    <w:lvl w:ilvl="0" w:tplc="85AA6594">
      <w:start w:val="3"/>
      <w:numFmt w:val="decimal"/>
      <w:lvlText w:val="%1"/>
      <w:lvlJc w:val="left"/>
      <w:pPr>
        <w:ind w:left="23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36C4416">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7AA4A4A">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8D627C6C">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CBB6B15A">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0F6124E">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775EF6BE">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6EB2249E">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6DE3F04">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C14194"/>
    <w:multiLevelType w:val="hybridMultilevel"/>
    <w:tmpl w:val="3AD08F88"/>
    <w:lvl w:ilvl="0" w:tplc="B846CB6E">
      <w:start w:val="1"/>
      <w:numFmt w:val="decimal"/>
      <w:lvlText w:val="%1."/>
      <w:lvlJc w:val="left"/>
      <w:pPr>
        <w:ind w:left="546"/>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D46489DE">
      <w:start w:val="1"/>
      <w:numFmt w:val="lowerLetter"/>
      <w:lvlText w:val="%2"/>
      <w:lvlJc w:val="left"/>
      <w:pPr>
        <w:ind w:left="123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9A60F02C">
      <w:start w:val="1"/>
      <w:numFmt w:val="lowerRoman"/>
      <w:lvlText w:val="%3"/>
      <w:lvlJc w:val="left"/>
      <w:pPr>
        <w:ind w:left="195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611A8DB6">
      <w:start w:val="1"/>
      <w:numFmt w:val="decimal"/>
      <w:lvlText w:val="%4"/>
      <w:lvlJc w:val="left"/>
      <w:pPr>
        <w:ind w:left="267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20D02B6C">
      <w:start w:val="1"/>
      <w:numFmt w:val="lowerLetter"/>
      <w:lvlText w:val="%5"/>
      <w:lvlJc w:val="left"/>
      <w:pPr>
        <w:ind w:left="339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35821D6C">
      <w:start w:val="1"/>
      <w:numFmt w:val="lowerRoman"/>
      <w:lvlText w:val="%6"/>
      <w:lvlJc w:val="left"/>
      <w:pPr>
        <w:ind w:left="411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097C42EE">
      <w:start w:val="1"/>
      <w:numFmt w:val="decimal"/>
      <w:lvlText w:val="%7"/>
      <w:lvlJc w:val="left"/>
      <w:pPr>
        <w:ind w:left="483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01D245B4">
      <w:start w:val="1"/>
      <w:numFmt w:val="lowerLetter"/>
      <w:lvlText w:val="%8"/>
      <w:lvlJc w:val="left"/>
      <w:pPr>
        <w:ind w:left="555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7DD4BCA4">
      <w:start w:val="1"/>
      <w:numFmt w:val="lowerRoman"/>
      <w:lvlText w:val="%9"/>
      <w:lvlJc w:val="left"/>
      <w:pPr>
        <w:ind w:left="6278"/>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40279E4"/>
    <w:multiLevelType w:val="hybridMultilevel"/>
    <w:tmpl w:val="D65AB34E"/>
    <w:lvl w:ilvl="0" w:tplc="467ECFA4">
      <w:start w:val="5"/>
      <w:numFmt w:val="decimal"/>
      <w:lvlText w:val="%1."/>
      <w:lvlJc w:val="left"/>
      <w:pPr>
        <w:ind w:left="26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761A3F40">
      <w:start w:val="1"/>
      <w:numFmt w:val="lowerLetter"/>
      <w:lvlText w:val="%2"/>
      <w:lvlJc w:val="left"/>
      <w:pPr>
        <w:ind w:left="1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E0560598">
      <w:start w:val="1"/>
      <w:numFmt w:val="lowerRoman"/>
      <w:lvlText w:val="%3"/>
      <w:lvlJc w:val="left"/>
      <w:pPr>
        <w:ind w:left="1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D9682108">
      <w:start w:val="1"/>
      <w:numFmt w:val="decimal"/>
      <w:lvlText w:val="%4"/>
      <w:lvlJc w:val="left"/>
      <w:pPr>
        <w:ind w:left="2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5FE7C8E">
      <w:start w:val="1"/>
      <w:numFmt w:val="lowerLetter"/>
      <w:lvlText w:val="%5"/>
      <w:lvlJc w:val="left"/>
      <w:pPr>
        <w:ind w:left="32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D56299A6">
      <w:start w:val="1"/>
      <w:numFmt w:val="lowerRoman"/>
      <w:lvlText w:val="%6"/>
      <w:lvlJc w:val="left"/>
      <w:pPr>
        <w:ind w:left="40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E1E9344">
      <w:start w:val="1"/>
      <w:numFmt w:val="decimal"/>
      <w:lvlText w:val="%7"/>
      <w:lvlJc w:val="left"/>
      <w:pPr>
        <w:ind w:left="4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33769656">
      <w:start w:val="1"/>
      <w:numFmt w:val="lowerLetter"/>
      <w:lvlText w:val="%8"/>
      <w:lvlJc w:val="left"/>
      <w:pPr>
        <w:ind w:left="54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E4B80A3C">
      <w:start w:val="1"/>
      <w:numFmt w:val="lowerRoman"/>
      <w:lvlText w:val="%9"/>
      <w:lvlJc w:val="left"/>
      <w:pPr>
        <w:ind w:left="61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8666E63"/>
    <w:multiLevelType w:val="hybridMultilevel"/>
    <w:tmpl w:val="158E353E"/>
    <w:lvl w:ilvl="0" w:tplc="DDE658B8">
      <w:start w:val="2"/>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65C4904">
      <w:start w:val="1"/>
      <w:numFmt w:val="lowerLetter"/>
      <w:lvlText w:val="%2"/>
      <w:lvlJc w:val="left"/>
      <w:pPr>
        <w:ind w:left="1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342AC5A">
      <w:start w:val="1"/>
      <w:numFmt w:val="lowerRoman"/>
      <w:lvlText w:val="%3"/>
      <w:lvlJc w:val="left"/>
      <w:pPr>
        <w:ind w:left="2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C96E8A0">
      <w:start w:val="1"/>
      <w:numFmt w:val="decimal"/>
      <w:lvlText w:val="%4"/>
      <w:lvlJc w:val="left"/>
      <w:pPr>
        <w:ind w:left="32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CC20A406">
      <w:start w:val="1"/>
      <w:numFmt w:val="lowerLetter"/>
      <w:lvlText w:val="%5"/>
      <w:lvlJc w:val="left"/>
      <w:pPr>
        <w:ind w:left="40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FD3A1E9C">
      <w:start w:val="1"/>
      <w:numFmt w:val="lowerRoman"/>
      <w:lvlText w:val="%6"/>
      <w:lvlJc w:val="left"/>
      <w:pPr>
        <w:ind w:left="4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87EE416A">
      <w:start w:val="1"/>
      <w:numFmt w:val="decimal"/>
      <w:lvlText w:val="%7"/>
      <w:lvlJc w:val="left"/>
      <w:pPr>
        <w:ind w:left="54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27443BE">
      <w:start w:val="1"/>
      <w:numFmt w:val="lowerLetter"/>
      <w:lvlText w:val="%8"/>
      <w:lvlJc w:val="left"/>
      <w:pPr>
        <w:ind w:left="61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CE090F2">
      <w:start w:val="1"/>
      <w:numFmt w:val="lowerRoman"/>
      <w:lvlText w:val="%9"/>
      <w:lvlJc w:val="left"/>
      <w:pPr>
        <w:ind w:left="68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087AE8"/>
    <w:multiLevelType w:val="hybridMultilevel"/>
    <w:tmpl w:val="D51C24A0"/>
    <w:lvl w:ilvl="0" w:tplc="8D50B1A0">
      <w:start w:val="1"/>
      <w:numFmt w:val="decimal"/>
      <w:lvlText w:val="%1."/>
      <w:lvlJc w:val="left"/>
      <w:pPr>
        <w:ind w:left="5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91A6058">
      <w:start w:val="1"/>
      <w:numFmt w:val="lowerLetter"/>
      <w:lvlText w:val="%2"/>
      <w:lvlJc w:val="left"/>
      <w:pPr>
        <w:ind w:left="123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AB4F0CE">
      <w:start w:val="1"/>
      <w:numFmt w:val="lowerRoman"/>
      <w:lvlText w:val="%3"/>
      <w:lvlJc w:val="left"/>
      <w:pPr>
        <w:ind w:left="19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140881A">
      <w:start w:val="1"/>
      <w:numFmt w:val="decimal"/>
      <w:lvlText w:val="%4"/>
      <w:lvlJc w:val="left"/>
      <w:pPr>
        <w:ind w:left="267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C2A1F9C">
      <w:start w:val="1"/>
      <w:numFmt w:val="lowerLetter"/>
      <w:lvlText w:val="%5"/>
      <w:lvlJc w:val="left"/>
      <w:pPr>
        <w:ind w:left="339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E20C60A">
      <w:start w:val="1"/>
      <w:numFmt w:val="lowerRoman"/>
      <w:lvlText w:val="%6"/>
      <w:lvlJc w:val="left"/>
      <w:pPr>
        <w:ind w:left="411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7B0AD28">
      <w:start w:val="1"/>
      <w:numFmt w:val="decimal"/>
      <w:lvlText w:val="%7"/>
      <w:lvlJc w:val="left"/>
      <w:pPr>
        <w:ind w:left="483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38C5F2A">
      <w:start w:val="1"/>
      <w:numFmt w:val="lowerLetter"/>
      <w:lvlText w:val="%8"/>
      <w:lvlJc w:val="left"/>
      <w:pPr>
        <w:ind w:left="55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BF62DE0">
      <w:start w:val="1"/>
      <w:numFmt w:val="lowerRoman"/>
      <w:lvlText w:val="%9"/>
      <w:lvlJc w:val="left"/>
      <w:pPr>
        <w:ind w:left="627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BD59F3"/>
    <w:multiLevelType w:val="hybridMultilevel"/>
    <w:tmpl w:val="27E864E4"/>
    <w:lvl w:ilvl="0" w:tplc="05945FA6">
      <w:start w:val="1"/>
      <w:numFmt w:val="decimal"/>
      <w:lvlText w:val="%1."/>
      <w:lvlJc w:val="left"/>
      <w:pPr>
        <w:ind w:left="253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F2AFF64">
      <w:start w:val="1"/>
      <w:numFmt w:val="lowerLetter"/>
      <w:lvlText w:val="%2"/>
      <w:lvlJc w:val="left"/>
      <w:pPr>
        <w:ind w:left="33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7280810">
      <w:start w:val="1"/>
      <w:numFmt w:val="lowerRoman"/>
      <w:lvlText w:val="%3"/>
      <w:lvlJc w:val="left"/>
      <w:pPr>
        <w:ind w:left="40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C3655EE">
      <w:start w:val="1"/>
      <w:numFmt w:val="decimal"/>
      <w:lvlText w:val="%4"/>
      <w:lvlJc w:val="left"/>
      <w:pPr>
        <w:ind w:left="47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6AE2402">
      <w:start w:val="1"/>
      <w:numFmt w:val="lowerLetter"/>
      <w:lvlText w:val="%5"/>
      <w:lvlJc w:val="left"/>
      <w:pPr>
        <w:ind w:left="54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A1F00040">
      <w:start w:val="1"/>
      <w:numFmt w:val="lowerRoman"/>
      <w:lvlText w:val="%6"/>
      <w:lvlJc w:val="left"/>
      <w:pPr>
        <w:ind w:left="61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F02A0F2">
      <w:start w:val="1"/>
      <w:numFmt w:val="decimal"/>
      <w:lvlText w:val="%7"/>
      <w:lvlJc w:val="left"/>
      <w:pPr>
        <w:ind w:left="69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6DA9670">
      <w:start w:val="1"/>
      <w:numFmt w:val="lowerLetter"/>
      <w:lvlText w:val="%8"/>
      <w:lvlJc w:val="left"/>
      <w:pPr>
        <w:ind w:left="76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D506CA20">
      <w:start w:val="1"/>
      <w:numFmt w:val="lowerRoman"/>
      <w:lvlText w:val="%9"/>
      <w:lvlJc w:val="left"/>
      <w:pPr>
        <w:ind w:left="83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E6763D"/>
    <w:multiLevelType w:val="hybridMultilevel"/>
    <w:tmpl w:val="8C785F96"/>
    <w:lvl w:ilvl="0" w:tplc="6C94E896">
      <w:start w:val="1"/>
      <w:numFmt w:val="decimal"/>
      <w:lvlText w:val="%1."/>
      <w:lvlJc w:val="left"/>
      <w:pPr>
        <w:ind w:left="5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7A663AE6">
      <w:start w:val="1"/>
      <w:numFmt w:val="lowerLetter"/>
      <w:lvlText w:val="%2"/>
      <w:lvlJc w:val="left"/>
      <w:pPr>
        <w:ind w:left="12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F51E0798">
      <w:start w:val="1"/>
      <w:numFmt w:val="lowerRoman"/>
      <w:lvlText w:val="%3"/>
      <w:lvlJc w:val="left"/>
      <w:pPr>
        <w:ind w:left="19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842899C">
      <w:start w:val="1"/>
      <w:numFmt w:val="decimal"/>
      <w:lvlText w:val="%4"/>
      <w:lvlJc w:val="left"/>
      <w:pPr>
        <w:ind w:left="26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EC83406">
      <w:start w:val="1"/>
      <w:numFmt w:val="lowerLetter"/>
      <w:lvlText w:val="%5"/>
      <w:lvlJc w:val="left"/>
      <w:pPr>
        <w:ind w:left="33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3A08FD0">
      <w:start w:val="1"/>
      <w:numFmt w:val="lowerRoman"/>
      <w:lvlText w:val="%6"/>
      <w:lvlJc w:val="left"/>
      <w:pPr>
        <w:ind w:left="41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E8E2D04">
      <w:start w:val="1"/>
      <w:numFmt w:val="decimal"/>
      <w:lvlText w:val="%7"/>
      <w:lvlJc w:val="left"/>
      <w:pPr>
        <w:ind w:left="48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B82B9A8">
      <w:start w:val="1"/>
      <w:numFmt w:val="lowerLetter"/>
      <w:lvlText w:val="%8"/>
      <w:lvlJc w:val="left"/>
      <w:pPr>
        <w:ind w:left="55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6E08B34">
      <w:start w:val="1"/>
      <w:numFmt w:val="lowerRoman"/>
      <w:lvlText w:val="%9"/>
      <w:lvlJc w:val="left"/>
      <w:pPr>
        <w:ind w:left="62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C3763E"/>
    <w:multiLevelType w:val="hybridMultilevel"/>
    <w:tmpl w:val="ECE6DBE6"/>
    <w:lvl w:ilvl="0" w:tplc="BD8C2576">
      <w:start w:val="1"/>
      <w:numFmt w:val="decimal"/>
      <w:lvlText w:val="%1."/>
      <w:lvlJc w:val="left"/>
      <w:pPr>
        <w:ind w:left="4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78061A28">
      <w:start w:val="1"/>
      <w:numFmt w:val="lowerLetter"/>
      <w:lvlText w:val="%2"/>
      <w:lvlJc w:val="left"/>
      <w:pPr>
        <w:ind w:left="1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E67E14E8">
      <w:start w:val="1"/>
      <w:numFmt w:val="lowerRoman"/>
      <w:lvlText w:val="%3"/>
      <w:lvlJc w:val="left"/>
      <w:pPr>
        <w:ind w:left="19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46CB3AE">
      <w:start w:val="1"/>
      <w:numFmt w:val="decimal"/>
      <w:lvlText w:val="%4"/>
      <w:lvlJc w:val="left"/>
      <w:pPr>
        <w:ind w:left="27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F98C71A">
      <w:start w:val="1"/>
      <w:numFmt w:val="lowerLetter"/>
      <w:lvlText w:val="%5"/>
      <w:lvlJc w:val="left"/>
      <w:pPr>
        <w:ind w:left="34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D792B874">
      <w:start w:val="1"/>
      <w:numFmt w:val="lowerRoman"/>
      <w:lvlText w:val="%6"/>
      <w:lvlJc w:val="left"/>
      <w:pPr>
        <w:ind w:left="41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C4CACE0">
      <w:start w:val="1"/>
      <w:numFmt w:val="decimal"/>
      <w:lvlText w:val="%7"/>
      <w:lvlJc w:val="left"/>
      <w:pPr>
        <w:ind w:left="48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95BE19A0">
      <w:start w:val="1"/>
      <w:numFmt w:val="lowerLetter"/>
      <w:lvlText w:val="%8"/>
      <w:lvlJc w:val="left"/>
      <w:pPr>
        <w:ind w:left="55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6C65422">
      <w:start w:val="1"/>
      <w:numFmt w:val="lowerRoman"/>
      <w:lvlText w:val="%9"/>
      <w:lvlJc w:val="left"/>
      <w:pPr>
        <w:ind w:left="63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684116"/>
    <w:multiLevelType w:val="hybridMultilevel"/>
    <w:tmpl w:val="4CD024DC"/>
    <w:lvl w:ilvl="0" w:tplc="4D8EA94E">
      <w:start w:val="1"/>
      <w:numFmt w:val="decimal"/>
      <w:lvlText w:val="%1."/>
      <w:lvlJc w:val="left"/>
      <w:pPr>
        <w:ind w:left="5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A664D2E">
      <w:start w:val="1"/>
      <w:numFmt w:val="lowerLetter"/>
      <w:lvlText w:val="%2"/>
      <w:lvlJc w:val="left"/>
      <w:pPr>
        <w:ind w:left="12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CB2D3A8">
      <w:start w:val="1"/>
      <w:numFmt w:val="lowerRoman"/>
      <w:lvlText w:val="%3"/>
      <w:lvlJc w:val="left"/>
      <w:pPr>
        <w:ind w:left="19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F223DBC">
      <w:start w:val="1"/>
      <w:numFmt w:val="decimal"/>
      <w:lvlText w:val="%4"/>
      <w:lvlJc w:val="left"/>
      <w:pPr>
        <w:ind w:left="269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9FD07148">
      <w:start w:val="1"/>
      <w:numFmt w:val="lowerLetter"/>
      <w:lvlText w:val="%5"/>
      <w:lvlJc w:val="left"/>
      <w:pPr>
        <w:ind w:left="341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3C529FBE">
      <w:start w:val="1"/>
      <w:numFmt w:val="lowerRoman"/>
      <w:lvlText w:val="%6"/>
      <w:lvlJc w:val="left"/>
      <w:pPr>
        <w:ind w:left="413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B1DA8A16">
      <w:start w:val="1"/>
      <w:numFmt w:val="decimal"/>
      <w:lvlText w:val="%7"/>
      <w:lvlJc w:val="left"/>
      <w:pPr>
        <w:ind w:left="48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59E77D4">
      <w:start w:val="1"/>
      <w:numFmt w:val="lowerLetter"/>
      <w:lvlText w:val="%8"/>
      <w:lvlJc w:val="left"/>
      <w:pPr>
        <w:ind w:left="557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5C88CD8">
      <w:start w:val="1"/>
      <w:numFmt w:val="lowerRoman"/>
      <w:lvlText w:val="%9"/>
      <w:lvlJc w:val="left"/>
      <w:pPr>
        <w:ind w:left="629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5323203"/>
    <w:multiLevelType w:val="hybridMultilevel"/>
    <w:tmpl w:val="BC62AB56"/>
    <w:lvl w:ilvl="0" w:tplc="94E0F5BC">
      <w:start w:val="1"/>
      <w:numFmt w:val="decimal"/>
      <w:lvlText w:val="%1."/>
      <w:lvlJc w:val="left"/>
      <w:pPr>
        <w:ind w:left="4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912238C">
      <w:start w:val="1"/>
      <w:numFmt w:val="lowerLetter"/>
      <w:lvlText w:val="%2"/>
      <w:lvlJc w:val="left"/>
      <w:pPr>
        <w:ind w:left="1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E9685BA">
      <w:start w:val="1"/>
      <w:numFmt w:val="lowerRoman"/>
      <w:lvlText w:val="%3"/>
      <w:lvlJc w:val="left"/>
      <w:pPr>
        <w:ind w:left="19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FF290DA">
      <w:start w:val="1"/>
      <w:numFmt w:val="decimal"/>
      <w:lvlText w:val="%4"/>
      <w:lvlJc w:val="left"/>
      <w:pPr>
        <w:ind w:left="27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A92D720">
      <w:start w:val="1"/>
      <w:numFmt w:val="lowerLetter"/>
      <w:lvlText w:val="%5"/>
      <w:lvlJc w:val="left"/>
      <w:pPr>
        <w:ind w:left="34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ED05ED8">
      <w:start w:val="1"/>
      <w:numFmt w:val="lowerRoman"/>
      <w:lvlText w:val="%6"/>
      <w:lvlJc w:val="left"/>
      <w:pPr>
        <w:ind w:left="41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0F836A6">
      <w:start w:val="1"/>
      <w:numFmt w:val="decimal"/>
      <w:lvlText w:val="%7"/>
      <w:lvlJc w:val="left"/>
      <w:pPr>
        <w:ind w:left="48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23EFEC2">
      <w:start w:val="1"/>
      <w:numFmt w:val="lowerLetter"/>
      <w:lvlText w:val="%8"/>
      <w:lvlJc w:val="left"/>
      <w:pPr>
        <w:ind w:left="55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16F290CA">
      <w:start w:val="1"/>
      <w:numFmt w:val="lowerRoman"/>
      <w:lvlText w:val="%9"/>
      <w:lvlJc w:val="left"/>
      <w:pPr>
        <w:ind w:left="63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1DC0E23"/>
    <w:multiLevelType w:val="hybridMultilevel"/>
    <w:tmpl w:val="2F786B34"/>
    <w:lvl w:ilvl="0" w:tplc="056430BC">
      <w:start w:val="2"/>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904E3EC">
      <w:start w:val="1"/>
      <w:numFmt w:val="lowerLetter"/>
      <w:lvlText w:val="%2"/>
      <w:lvlJc w:val="left"/>
      <w:pPr>
        <w:ind w:left="33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336A7B0">
      <w:start w:val="1"/>
      <w:numFmt w:val="lowerRoman"/>
      <w:lvlText w:val="%3"/>
      <w:lvlJc w:val="left"/>
      <w:pPr>
        <w:ind w:left="40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E905F90">
      <w:start w:val="1"/>
      <w:numFmt w:val="decimal"/>
      <w:lvlText w:val="%4"/>
      <w:lvlJc w:val="left"/>
      <w:pPr>
        <w:ind w:left="48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670716E">
      <w:start w:val="1"/>
      <w:numFmt w:val="lowerLetter"/>
      <w:lvlText w:val="%5"/>
      <w:lvlJc w:val="left"/>
      <w:pPr>
        <w:ind w:left="5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79E5612">
      <w:start w:val="1"/>
      <w:numFmt w:val="lowerRoman"/>
      <w:lvlText w:val="%6"/>
      <w:lvlJc w:val="left"/>
      <w:pPr>
        <w:ind w:left="62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76EA6720">
      <w:start w:val="1"/>
      <w:numFmt w:val="decimal"/>
      <w:lvlText w:val="%7"/>
      <w:lvlJc w:val="left"/>
      <w:pPr>
        <w:ind w:left="69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E9A7666">
      <w:start w:val="1"/>
      <w:numFmt w:val="lowerLetter"/>
      <w:lvlText w:val="%8"/>
      <w:lvlJc w:val="left"/>
      <w:pPr>
        <w:ind w:left="76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246C794">
      <w:start w:val="1"/>
      <w:numFmt w:val="lowerRoman"/>
      <w:lvlText w:val="%9"/>
      <w:lvlJc w:val="left"/>
      <w:pPr>
        <w:ind w:left="84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F70DC3"/>
    <w:multiLevelType w:val="hybridMultilevel"/>
    <w:tmpl w:val="4C58649C"/>
    <w:lvl w:ilvl="0" w:tplc="2E3E52B6">
      <w:start w:val="1"/>
      <w:numFmt w:val="decimal"/>
      <w:lvlText w:val="%1."/>
      <w:lvlJc w:val="left"/>
      <w:pPr>
        <w:ind w:left="4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9F3E7606">
      <w:start w:val="1"/>
      <w:numFmt w:val="lowerLetter"/>
      <w:lvlText w:val="%2"/>
      <w:lvlJc w:val="left"/>
      <w:pPr>
        <w:ind w:left="1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4B848E0">
      <w:start w:val="1"/>
      <w:numFmt w:val="lowerRoman"/>
      <w:lvlText w:val="%3"/>
      <w:lvlJc w:val="left"/>
      <w:pPr>
        <w:ind w:left="19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F368112">
      <w:start w:val="1"/>
      <w:numFmt w:val="decimal"/>
      <w:lvlText w:val="%4"/>
      <w:lvlJc w:val="left"/>
      <w:pPr>
        <w:ind w:left="27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2BCB65A">
      <w:start w:val="1"/>
      <w:numFmt w:val="lowerLetter"/>
      <w:lvlText w:val="%5"/>
      <w:lvlJc w:val="left"/>
      <w:pPr>
        <w:ind w:left="34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9FC76C4">
      <w:start w:val="1"/>
      <w:numFmt w:val="lowerRoman"/>
      <w:lvlText w:val="%6"/>
      <w:lvlJc w:val="left"/>
      <w:pPr>
        <w:ind w:left="41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836BD26">
      <w:start w:val="1"/>
      <w:numFmt w:val="decimal"/>
      <w:lvlText w:val="%7"/>
      <w:lvlJc w:val="left"/>
      <w:pPr>
        <w:ind w:left="48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E8E6AEA">
      <w:start w:val="1"/>
      <w:numFmt w:val="lowerLetter"/>
      <w:lvlText w:val="%8"/>
      <w:lvlJc w:val="left"/>
      <w:pPr>
        <w:ind w:left="55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34A070A">
      <w:start w:val="1"/>
      <w:numFmt w:val="lowerRoman"/>
      <w:lvlText w:val="%9"/>
      <w:lvlJc w:val="left"/>
      <w:pPr>
        <w:ind w:left="63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A2B3805"/>
    <w:multiLevelType w:val="hybridMultilevel"/>
    <w:tmpl w:val="B51C9058"/>
    <w:lvl w:ilvl="0" w:tplc="1A521C32">
      <w:start w:val="1"/>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B8E9968">
      <w:start w:val="1"/>
      <w:numFmt w:val="lowerLetter"/>
      <w:lvlText w:val="%2"/>
      <w:lvlJc w:val="left"/>
      <w:pPr>
        <w:ind w:left="33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238CB74">
      <w:start w:val="1"/>
      <w:numFmt w:val="lowerRoman"/>
      <w:lvlText w:val="%3"/>
      <w:lvlJc w:val="left"/>
      <w:pPr>
        <w:ind w:left="40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CBE1C6C">
      <w:start w:val="1"/>
      <w:numFmt w:val="decimal"/>
      <w:lvlText w:val="%4"/>
      <w:lvlJc w:val="left"/>
      <w:pPr>
        <w:ind w:left="48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966C9DE">
      <w:start w:val="1"/>
      <w:numFmt w:val="lowerLetter"/>
      <w:lvlText w:val="%5"/>
      <w:lvlJc w:val="left"/>
      <w:pPr>
        <w:ind w:left="5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054BC00">
      <w:start w:val="1"/>
      <w:numFmt w:val="lowerRoman"/>
      <w:lvlText w:val="%6"/>
      <w:lvlJc w:val="left"/>
      <w:pPr>
        <w:ind w:left="62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D908B80A">
      <w:start w:val="1"/>
      <w:numFmt w:val="decimal"/>
      <w:lvlText w:val="%7"/>
      <w:lvlJc w:val="left"/>
      <w:pPr>
        <w:ind w:left="69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1843C7A">
      <w:start w:val="1"/>
      <w:numFmt w:val="lowerLetter"/>
      <w:lvlText w:val="%8"/>
      <w:lvlJc w:val="left"/>
      <w:pPr>
        <w:ind w:left="76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AE633A6">
      <w:start w:val="1"/>
      <w:numFmt w:val="lowerRoman"/>
      <w:lvlText w:val="%9"/>
      <w:lvlJc w:val="left"/>
      <w:pPr>
        <w:ind w:left="84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ADE1882"/>
    <w:multiLevelType w:val="hybridMultilevel"/>
    <w:tmpl w:val="B9A8E09A"/>
    <w:lvl w:ilvl="0" w:tplc="F8AEAEE6">
      <w:start w:val="13"/>
      <w:numFmt w:val="decimal"/>
      <w:lvlText w:val="%1."/>
      <w:lvlJc w:val="left"/>
      <w:pPr>
        <w:ind w:left="33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24E23E2C">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69DA3FC8">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5A62E2EC">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FFC845B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C9CE7BF4">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C7626F26">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8BFE14A2">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0BB6A7FC">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4E0A0D78"/>
    <w:multiLevelType w:val="hybridMultilevel"/>
    <w:tmpl w:val="BA38A13E"/>
    <w:lvl w:ilvl="0" w:tplc="48C62A0C">
      <w:start w:val="1"/>
      <w:numFmt w:val="decimal"/>
      <w:lvlText w:val="%1."/>
      <w:lvlJc w:val="left"/>
      <w:pPr>
        <w:ind w:left="26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1588EF8">
      <w:start w:val="1"/>
      <w:numFmt w:val="lowerLetter"/>
      <w:lvlText w:val="%2"/>
      <w:lvlJc w:val="left"/>
      <w:pPr>
        <w:ind w:left="332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416590A">
      <w:start w:val="1"/>
      <w:numFmt w:val="lowerRoman"/>
      <w:lvlText w:val="%3"/>
      <w:lvlJc w:val="left"/>
      <w:pPr>
        <w:ind w:left="404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2FF63A46">
      <w:start w:val="1"/>
      <w:numFmt w:val="decimal"/>
      <w:lvlText w:val="%4"/>
      <w:lvlJc w:val="left"/>
      <w:pPr>
        <w:ind w:left="476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C82292A">
      <w:start w:val="1"/>
      <w:numFmt w:val="lowerLetter"/>
      <w:lvlText w:val="%5"/>
      <w:lvlJc w:val="left"/>
      <w:pPr>
        <w:ind w:left="548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91B2D68E">
      <w:start w:val="1"/>
      <w:numFmt w:val="lowerRoman"/>
      <w:lvlText w:val="%6"/>
      <w:lvlJc w:val="left"/>
      <w:pPr>
        <w:ind w:left="620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8298A2A8">
      <w:start w:val="1"/>
      <w:numFmt w:val="decimal"/>
      <w:lvlText w:val="%7"/>
      <w:lvlJc w:val="left"/>
      <w:pPr>
        <w:ind w:left="692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BA85F5C">
      <w:start w:val="1"/>
      <w:numFmt w:val="lowerLetter"/>
      <w:lvlText w:val="%8"/>
      <w:lvlJc w:val="left"/>
      <w:pPr>
        <w:ind w:left="764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1522100">
      <w:start w:val="1"/>
      <w:numFmt w:val="lowerRoman"/>
      <w:lvlText w:val="%9"/>
      <w:lvlJc w:val="left"/>
      <w:pPr>
        <w:ind w:left="836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A3B410C"/>
    <w:multiLevelType w:val="hybridMultilevel"/>
    <w:tmpl w:val="5164F5EC"/>
    <w:lvl w:ilvl="0" w:tplc="13284DA8">
      <w:start w:val="2"/>
      <w:numFmt w:val="decimal"/>
      <w:lvlText w:val="%1"/>
      <w:lvlJc w:val="left"/>
      <w:pPr>
        <w:ind w:left="23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787A83E8">
      <w:start w:val="2"/>
      <w:numFmt w:val="decimal"/>
      <w:lvlText w:val="%2."/>
      <w:lvlJc w:val="left"/>
      <w:pPr>
        <w:ind w:left="253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3A6457A">
      <w:start w:val="1"/>
      <w:numFmt w:val="lowerRoman"/>
      <w:lvlText w:val="%3"/>
      <w:lvlJc w:val="left"/>
      <w:pPr>
        <w:ind w:left="332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DEC854A6">
      <w:start w:val="1"/>
      <w:numFmt w:val="decimal"/>
      <w:lvlText w:val="%4"/>
      <w:lvlJc w:val="left"/>
      <w:pPr>
        <w:ind w:left="404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F67ED5A2">
      <w:start w:val="1"/>
      <w:numFmt w:val="lowerLetter"/>
      <w:lvlText w:val="%5"/>
      <w:lvlJc w:val="left"/>
      <w:pPr>
        <w:ind w:left="476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232497BE">
      <w:start w:val="1"/>
      <w:numFmt w:val="lowerRoman"/>
      <w:lvlText w:val="%6"/>
      <w:lvlJc w:val="left"/>
      <w:pPr>
        <w:ind w:left="548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118F6C4">
      <w:start w:val="1"/>
      <w:numFmt w:val="decimal"/>
      <w:lvlText w:val="%7"/>
      <w:lvlJc w:val="left"/>
      <w:pPr>
        <w:ind w:left="620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406EEC4">
      <w:start w:val="1"/>
      <w:numFmt w:val="lowerLetter"/>
      <w:lvlText w:val="%8"/>
      <w:lvlJc w:val="left"/>
      <w:pPr>
        <w:ind w:left="692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6E2462E">
      <w:start w:val="1"/>
      <w:numFmt w:val="lowerRoman"/>
      <w:lvlText w:val="%9"/>
      <w:lvlJc w:val="left"/>
      <w:pPr>
        <w:ind w:left="764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EF1021F"/>
    <w:multiLevelType w:val="hybridMultilevel"/>
    <w:tmpl w:val="3328EA18"/>
    <w:lvl w:ilvl="0" w:tplc="5352EBC4">
      <w:start w:val="1"/>
      <w:numFmt w:val="decimal"/>
      <w:lvlText w:val="%1."/>
      <w:lvlJc w:val="left"/>
      <w:pPr>
        <w:ind w:left="43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60AC4056">
      <w:start w:val="1"/>
      <w:numFmt w:val="lowerLetter"/>
      <w:lvlText w:val="%2"/>
      <w:lvlJc w:val="left"/>
      <w:pPr>
        <w:ind w:left="12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66E1D98">
      <w:start w:val="1"/>
      <w:numFmt w:val="lowerRoman"/>
      <w:lvlText w:val="%3"/>
      <w:lvlJc w:val="left"/>
      <w:pPr>
        <w:ind w:left="19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A3A306E">
      <w:start w:val="1"/>
      <w:numFmt w:val="decimal"/>
      <w:lvlText w:val="%4"/>
      <w:lvlJc w:val="left"/>
      <w:pPr>
        <w:ind w:left="27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D42EFFA">
      <w:start w:val="1"/>
      <w:numFmt w:val="lowerLetter"/>
      <w:lvlText w:val="%5"/>
      <w:lvlJc w:val="left"/>
      <w:pPr>
        <w:ind w:left="34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5C6C29A">
      <w:start w:val="1"/>
      <w:numFmt w:val="lowerRoman"/>
      <w:lvlText w:val="%6"/>
      <w:lvlJc w:val="left"/>
      <w:pPr>
        <w:ind w:left="41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3603068">
      <w:start w:val="1"/>
      <w:numFmt w:val="decimal"/>
      <w:lvlText w:val="%7"/>
      <w:lvlJc w:val="left"/>
      <w:pPr>
        <w:ind w:left="48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A6C19C8">
      <w:start w:val="1"/>
      <w:numFmt w:val="lowerLetter"/>
      <w:lvlText w:val="%8"/>
      <w:lvlJc w:val="left"/>
      <w:pPr>
        <w:ind w:left="55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4F0DF48">
      <w:start w:val="1"/>
      <w:numFmt w:val="lowerRoman"/>
      <w:lvlText w:val="%9"/>
      <w:lvlJc w:val="left"/>
      <w:pPr>
        <w:ind w:left="63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B212FFC"/>
    <w:multiLevelType w:val="hybridMultilevel"/>
    <w:tmpl w:val="405ED38A"/>
    <w:lvl w:ilvl="0" w:tplc="EE1C68D8">
      <w:start w:val="1"/>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6AE2266">
      <w:start w:val="1"/>
      <w:numFmt w:val="lowerLetter"/>
      <w:lvlText w:val="%2"/>
      <w:lvlJc w:val="left"/>
      <w:pPr>
        <w:ind w:left="33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1BA9608">
      <w:start w:val="1"/>
      <w:numFmt w:val="lowerRoman"/>
      <w:lvlText w:val="%3"/>
      <w:lvlJc w:val="left"/>
      <w:pPr>
        <w:ind w:left="40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810C128">
      <w:start w:val="1"/>
      <w:numFmt w:val="decimal"/>
      <w:lvlText w:val="%4"/>
      <w:lvlJc w:val="left"/>
      <w:pPr>
        <w:ind w:left="48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26A1E6C">
      <w:start w:val="1"/>
      <w:numFmt w:val="lowerLetter"/>
      <w:lvlText w:val="%5"/>
      <w:lvlJc w:val="left"/>
      <w:pPr>
        <w:ind w:left="5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4F41360">
      <w:start w:val="1"/>
      <w:numFmt w:val="lowerRoman"/>
      <w:lvlText w:val="%6"/>
      <w:lvlJc w:val="left"/>
      <w:pPr>
        <w:ind w:left="62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B56C73BC">
      <w:start w:val="1"/>
      <w:numFmt w:val="decimal"/>
      <w:lvlText w:val="%7"/>
      <w:lvlJc w:val="left"/>
      <w:pPr>
        <w:ind w:left="69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CE679E2">
      <w:start w:val="1"/>
      <w:numFmt w:val="lowerLetter"/>
      <w:lvlText w:val="%8"/>
      <w:lvlJc w:val="left"/>
      <w:pPr>
        <w:ind w:left="76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2E0CC8F2">
      <w:start w:val="1"/>
      <w:numFmt w:val="lowerRoman"/>
      <w:lvlText w:val="%9"/>
      <w:lvlJc w:val="left"/>
      <w:pPr>
        <w:ind w:left="84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D1E5C18"/>
    <w:multiLevelType w:val="hybridMultilevel"/>
    <w:tmpl w:val="B77A59CE"/>
    <w:lvl w:ilvl="0" w:tplc="A0C0741E">
      <w:start w:val="11"/>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2BE8FC4">
      <w:start w:val="1"/>
      <w:numFmt w:val="lowerLetter"/>
      <w:lvlText w:val="%2"/>
      <w:lvlJc w:val="left"/>
      <w:pPr>
        <w:ind w:left="326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51048BA">
      <w:start w:val="1"/>
      <w:numFmt w:val="lowerRoman"/>
      <w:lvlText w:val="%3"/>
      <w:lvlJc w:val="left"/>
      <w:pPr>
        <w:ind w:left="398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E142AEA">
      <w:start w:val="1"/>
      <w:numFmt w:val="decimal"/>
      <w:lvlText w:val="%4"/>
      <w:lvlJc w:val="left"/>
      <w:pPr>
        <w:ind w:left="470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A909BE6">
      <w:start w:val="1"/>
      <w:numFmt w:val="lowerLetter"/>
      <w:lvlText w:val="%5"/>
      <w:lvlJc w:val="left"/>
      <w:pPr>
        <w:ind w:left="542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0722742">
      <w:start w:val="1"/>
      <w:numFmt w:val="lowerRoman"/>
      <w:lvlText w:val="%6"/>
      <w:lvlJc w:val="left"/>
      <w:pPr>
        <w:ind w:left="61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A586798">
      <w:start w:val="1"/>
      <w:numFmt w:val="decimal"/>
      <w:lvlText w:val="%7"/>
      <w:lvlJc w:val="left"/>
      <w:pPr>
        <w:ind w:left="686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8122D00">
      <w:start w:val="1"/>
      <w:numFmt w:val="lowerLetter"/>
      <w:lvlText w:val="%8"/>
      <w:lvlJc w:val="left"/>
      <w:pPr>
        <w:ind w:left="758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93003DA">
      <w:start w:val="1"/>
      <w:numFmt w:val="lowerRoman"/>
      <w:lvlText w:val="%9"/>
      <w:lvlJc w:val="left"/>
      <w:pPr>
        <w:ind w:left="830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0ED06BD"/>
    <w:multiLevelType w:val="hybridMultilevel"/>
    <w:tmpl w:val="6A940842"/>
    <w:lvl w:ilvl="0" w:tplc="2A1CF770">
      <w:start w:val="1"/>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03E94B0">
      <w:start w:val="1"/>
      <w:numFmt w:val="lowerLetter"/>
      <w:lvlText w:val="%2"/>
      <w:lvlJc w:val="left"/>
      <w:pPr>
        <w:ind w:left="33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776B76C">
      <w:start w:val="1"/>
      <w:numFmt w:val="lowerRoman"/>
      <w:lvlText w:val="%3"/>
      <w:lvlJc w:val="left"/>
      <w:pPr>
        <w:ind w:left="40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57C1934">
      <w:start w:val="1"/>
      <w:numFmt w:val="decimal"/>
      <w:lvlText w:val="%4"/>
      <w:lvlJc w:val="left"/>
      <w:pPr>
        <w:ind w:left="48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4816E9F4">
      <w:start w:val="1"/>
      <w:numFmt w:val="lowerLetter"/>
      <w:lvlText w:val="%5"/>
      <w:lvlJc w:val="left"/>
      <w:pPr>
        <w:ind w:left="5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FA2A51E">
      <w:start w:val="1"/>
      <w:numFmt w:val="lowerRoman"/>
      <w:lvlText w:val="%6"/>
      <w:lvlJc w:val="left"/>
      <w:pPr>
        <w:ind w:left="62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4D44BC4">
      <w:start w:val="1"/>
      <w:numFmt w:val="decimal"/>
      <w:lvlText w:val="%7"/>
      <w:lvlJc w:val="left"/>
      <w:pPr>
        <w:ind w:left="69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F7E5416">
      <w:start w:val="1"/>
      <w:numFmt w:val="lowerLetter"/>
      <w:lvlText w:val="%8"/>
      <w:lvlJc w:val="left"/>
      <w:pPr>
        <w:ind w:left="76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878239E">
      <w:start w:val="1"/>
      <w:numFmt w:val="lowerRoman"/>
      <w:lvlText w:val="%9"/>
      <w:lvlJc w:val="left"/>
      <w:pPr>
        <w:ind w:left="84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12E3073"/>
    <w:multiLevelType w:val="hybridMultilevel"/>
    <w:tmpl w:val="DE60B06A"/>
    <w:lvl w:ilvl="0" w:tplc="819EEBC8">
      <w:start w:val="1"/>
      <w:numFmt w:val="decimal"/>
      <w:lvlText w:val="%1."/>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0001CA6">
      <w:start w:val="1"/>
      <w:numFmt w:val="lowerLetter"/>
      <w:lvlText w:val="%2"/>
      <w:lvlJc w:val="left"/>
      <w:pPr>
        <w:ind w:left="33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EDA098A">
      <w:start w:val="1"/>
      <w:numFmt w:val="lowerRoman"/>
      <w:lvlText w:val="%3"/>
      <w:lvlJc w:val="left"/>
      <w:pPr>
        <w:ind w:left="40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C921F7E">
      <w:start w:val="1"/>
      <w:numFmt w:val="decimal"/>
      <w:lvlText w:val="%4"/>
      <w:lvlJc w:val="left"/>
      <w:pPr>
        <w:ind w:left="48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ACA9D7A">
      <w:start w:val="1"/>
      <w:numFmt w:val="lowerLetter"/>
      <w:lvlText w:val="%5"/>
      <w:lvlJc w:val="left"/>
      <w:pPr>
        <w:ind w:left="5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72A34B2">
      <w:start w:val="1"/>
      <w:numFmt w:val="lowerRoman"/>
      <w:lvlText w:val="%6"/>
      <w:lvlJc w:val="left"/>
      <w:pPr>
        <w:ind w:left="62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CD214BA">
      <w:start w:val="1"/>
      <w:numFmt w:val="decimal"/>
      <w:lvlText w:val="%7"/>
      <w:lvlJc w:val="left"/>
      <w:pPr>
        <w:ind w:left="69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D42E746">
      <w:start w:val="1"/>
      <w:numFmt w:val="lowerLetter"/>
      <w:lvlText w:val="%8"/>
      <w:lvlJc w:val="left"/>
      <w:pPr>
        <w:ind w:left="76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EABCC61E">
      <w:start w:val="1"/>
      <w:numFmt w:val="lowerRoman"/>
      <w:lvlText w:val="%9"/>
      <w:lvlJc w:val="left"/>
      <w:pPr>
        <w:ind w:left="84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9130F96"/>
    <w:multiLevelType w:val="hybridMultilevel"/>
    <w:tmpl w:val="42C86DEA"/>
    <w:lvl w:ilvl="0" w:tplc="2CE4A9A4">
      <w:start w:val="1"/>
      <w:numFmt w:val="decimal"/>
      <w:lvlText w:val="%1"/>
      <w:lvlJc w:val="left"/>
      <w:pPr>
        <w:ind w:left="3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A5FC24A4">
      <w:start w:val="1"/>
      <w:numFmt w:val="decimal"/>
      <w:lvlRestart w:val="0"/>
      <w:lvlText w:val="%2."/>
      <w:lvlJc w:val="left"/>
      <w:pPr>
        <w:ind w:left="2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4A87E36">
      <w:start w:val="1"/>
      <w:numFmt w:val="lowerRoman"/>
      <w:lvlText w:val="%3"/>
      <w:lvlJc w:val="left"/>
      <w:pPr>
        <w:ind w:left="33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97A0684">
      <w:start w:val="1"/>
      <w:numFmt w:val="decimal"/>
      <w:lvlText w:val="%4"/>
      <w:lvlJc w:val="left"/>
      <w:pPr>
        <w:ind w:left="40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64429E6">
      <w:start w:val="1"/>
      <w:numFmt w:val="lowerLetter"/>
      <w:lvlText w:val="%5"/>
      <w:lvlJc w:val="left"/>
      <w:pPr>
        <w:ind w:left="480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4B6F73E">
      <w:start w:val="1"/>
      <w:numFmt w:val="lowerRoman"/>
      <w:lvlText w:val="%6"/>
      <w:lvlJc w:val="left"/>
      <w:pPr>
        <w:ind w:left="552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BD20F1C6">
      <w:start w:val="1"/>
      <w:numFmt w:val="decimal"/>
      <w:lvlText w:val="%7"/>
      <w:lvlJc w:val="left"/>
      <w:pPr>
        <w:ind w:left="624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8707C14">
      <w:start w:val="1"/>
      <w:numFmt w:val="lowerLetter"/>
      <w:lvlText w:val="%8"/>
      <w:lvlJc w:val="left"/>
      <w:pPr>
        <w:ind w:left="69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99E80986">
      <w:start w:val="1"/>
      <w:numFmt w:val="lowerRoman"/>
      <w:lvlText w:val="%9"/>
      <w:lvlJc w:val="left"/>
      <w:pPr>
        <w:ind w:left="768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16"/>
  </w:num>
  <w:num w:numId="2">
    <w:abstractNumId w:val="19"/>
  </w:num>
  <w:num w:numId="3">
    <w:abstractNumId w:val="1"/>
  </w:num>
  <w:num w:numId="4">
    <w:abstractNumId w:val="22"/>
  </w:num>
  <w:num w:numId="5">
    <w:abstractNumId w:val="15"/>
  </w:num>
  <w:num w:numId="6">
    <w:abstractNumId w:val="11"/>
  </w:num>
  <w:num w:numId="7">
    <w:abstractNumId w:val="6"/>
  </w:num>
  <w:num w:numId="8">
    <w:abstractNumId w:val="18"/>
  </w:num>
  <w:num w:numId="9">
    <w:abstractNumId w:val="13"/>
  </w:num>
  <w:num w:numId="10">
    <w:abstractNumId w:val="20"/>
  </w:num>
  <w:num w:numId="11">
    <w:abstractNumId w:val="21"/>
  </w:num>
  <w:num w:numId="12">
    <w:abstractNumId w:val="4"/>
  </w:num>
  <w:num w:numId="13">
    <w:abstractNumId w:val="3"/>
  </w:num>
  <w:num w:numId="14">
    <w:abstractNumId w:val="2"/>
  </w:num>
  <w:num w:numId="15">
    <w:abstractNumId w:val="14"/>
  </w:num>
  <w:num w:numId="16">
    <w:abstractNumId w:val="5"/>
  </w:num>
  <w:num w:numId="17">
    <w:abstractNumId w:val="8"/>
  </w:num>
  <w:num w:numId="18">
    <w:abstractNumId w:val="0"/>
  </w:num>
  <w:num w:numId="19">
    <w:abstractNumId w:val="9"/>
  </w:num>
  <w:num w:numId="20">
    <w:abstractNumId w:val="17"/>
  </w:num>
  <w:num w:numId="21">
    <w:abstractNumId w:val="12"/>
  </w:num>
  <w:num w:numId="22">
    <w:abstractNumId w:val="1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C2F"/>
    <w:rsid w:val="003A0C2F"/>
    <w:rsid w:val="00BB4C2D"/>
    <w:rsid w:val="00F16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75D54-657B-48AA-B7DF-2CDF06175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7" w:line="255" w:lineRule="auto"/>
      <w:ind w:left="10" w:right="740"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81"/>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3"/>
      <w:ind w:left="10" w:hanging="10"/>
      <w:jc w:val="both"/>
      <w:outlineLvl w:val="1"/>
    </w:pPr>
    <w:rPr>
      <w:rFonts w:ascii="Calibri" w:eastAsia="Calibri" w:hAnsi="Calibri" w:cs="Calibri"/>
      <w:b/>
      <w:i/>
      <w:color w:val="000000"/>
      <w:sz w:val="2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i/>
      <w:color w:val="000000"/>
      <w:sz w:val="20"/>
    </w:rPr>
  </w:style>
  <w:style w:type="character" w:customStyle="1" w:styleId="Heading1Char">
    <w:name w:val="Heading 1 Char"/>
    <w:link w:val="Heading1"/>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after="0"/>
      <w:ind w:left="2098" w:right="740"/>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Heading2Char">
    <w:name w:val="Heading 2 Char"/>
    <w:link w:val="Heading2"/>
    <w:rPr>
      <w:rFonts w:ascii="Calibri" w:eastAsia="Calibri" w:hAnsi="Calibri" w:cs="Calibri"/>
      <w:b/>
      <w:i/>
      <w:color w:val="000000"/>
      <w:sz w:val="20"/>
    </w:rPr>
  </w:style>
  <w:style w:type="character" w:customStyle="1" w:styleId="footnotemark">
    <w:name w:val="footnote mark"/>
    <w:hidden/>
    <w:rPr>
      <w:rFonts w:ascii="Calibri" w:eastAsia="Calibri" w:hAnsi="Calibri" w:cs="Calibri"/>
      <w:b/>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ensemblgenomes.org/" TargetMode="External"/><Relationship Id="rId18" Type="http://schemas.openxmlformats.org/officeDocument/2006/relationships/hyperlink" Target="http://www.ncbi.nlm.nih.gov/assembly/" TargetMode="External"/><Relationship Id="rId26" Type="http://schemas.openxmlformats.org/officeDocument/2006/relationships/hyperlink" Target="https://www.r-project.org/" TargetMode="External"/><Relationship Id="rId39" Type="http://schemas.openxmlformats.org/officeDocument/2006/relationships/hyperlink" Target="https://github.com/georgimarinov/SMAC-seq-scripts" TargetMode="External"/><Relationship Id="rId3" Type="http://schemas.openxmlformats.org/officeDocument/2006/relationships/settings" Target="settings.xml"/><Relationship Id="rId21" Type="http://schemas.openxmlformats.org/officeDocument/2006/relationships/hyperlink" Target="https://www.encodeproject.org/data-standards/reference-sequences/" TargetMode="External"/><Relationship Id="rId34" Type="http://schemas.openxmlformats.org/officeDocument/2006/relationships/hyperlink" Target="https://github.com/nanoporetech/megalodon"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hgdownload.soe.ucsc.edu/goldenPath/hg38/bigZips/hg38.fa.gz" TargetMode="External"/><Relationship Id="rId17" Type="http://schemas.openxmlformats.org/officeDocument/2006/relationships/hyperlink" Target="http://www.ncbi.nlm.nih.gov/assembly/" TargetMode="External"/><Relationship Id="rId25" Type="http://schemas.openxmlformats.org/officeDocument/2006/relationships/hyperlink" Target="http://hgdownload.cse.ucsc.edu/admin/exe/" TargetMode="External"/><Relationship Id="rId33" Type="http://schemas.openxmlformats.org/officeDocument/2006/relationships/hyperlink" Target="https://nanoporetech.com/" TargetMode="External"/><Relationship Id="rId38" Type="http://schemas.openxmlformats.org/officeDocument/2006/relationships/hyperlink" Target="https://github.com/georgimarinov/SMAC-seq-scripts" TargetMode="External"/><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ncbi.nlm.nih.gov/assembly/" TargetMode="External"/><Relationship Id="rId20" Type="http://schemas.openxmlformats.org/officeDocument/2006/relationships/hyperlink" Target="https://www.encodeproject.org/data-standards/reference-sequences/" TargetMode="External"/><Relationship Id="rId29" Type="http://schemas.openxmlformats.org/officeDocument/2006/relationships/hyperlink" Target="https://www.scipy.org/"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gdownload.soe.ucsc.edu/goldenPath/hg38/bigZips/hg38.fa.gz" TargetMode="External"/><Relationship Id="rId24" Type="http://schemas.openxmlformats.org/officeDocument/2006/relationships/hyperlink" Target="http://hgdownload.cse.ucsc.edu/admin/exe/" TargetMode="External"/><Relationship Id="rId32" Type="http://schemas.openxmlformats.org/officeDocument/2006/relationships/hyperlink" Target="https://nanoporetech.github.io/tombo/" TargetMode="External"/><Relationship Id="rId37" Type="http://schemas.openxmlformats.org/officeDocument/2006/relationships/hyperlink" Target="http://www.htslib.org/doc/tabix.html"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semblgenomes.org/" TargetMode="External"/><Relationship Id="rId23" Type="http://schemas.openxmlformats.org/officeDocument/2006/relationships/hyperlink" Target="http://hgdownload.cse.ucsc.edu/goldenPath/sacCer3/bigZips/sacCer3.fa.gz" TargetMode="External"/><Relationship Id="rId28" Type="http://schemas.openxmlformats.org/officeDocument/2006/relationships/hyperlink" Target="https://github.com/tanaylab/tglkmeans" TargetMode="External"/><Relationship Id="rId36" Type="http://schemas.openxmlformats.org/officeDocument/2006/relationships/hyperlink" Target="https://github.com/nanoporetech/rerio" TargetMode="External"/><Relationship Id="rId49" Type="http://schemas.openxmlformats.org/officeDocument/2006/relationships/footer" Target="footer1.xml"/><Relationship Id="rId10" Type="http://schemas.openxmlformats.org/officeDocument/2006/relationships/hyperlink" Target="http://hgdownload.soe.ucsc.edu/goldenPath/hg38/bigZips/hg38.fa.gz" TargetMode="External"/><Relationship Id="rId19" Type="http://schemas.openxmlformats.org/officeDocument/2006/relationships/hyperlink" Target="https://www.encodeproject.org/data-standards/reference-sequences/" TargetMode="External"/><Relationship Id="rId31" Type="http://schemas.openxmlformats.org/officeDocument/2006/relationships/hyperlink" Target="https://github.com/lh3/minimap2" TargetMode="Externa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hgdownload.soe.ucsc.edu/goldenPath/hg38/bigZips/hg38.fa.gz" TargetMode="External"/><Relationship Id="rId14" Type="http://schemas.openxmlformats.org/officeDocument/2006/relationships/hyperlink" Target="http://ensemblgenomes.org/" TargetMode="External"/><Relationship Id="rId22" Type="http://schemas.openxmlformats.org/officeDocument/2006/relationships/hyperlink" Target="http://hgdownload.cse.ucsc.edu/goldenPath/sacCer3/bigZips/sacCer3.fa.gz" TargetMode="External"/><Relationship Id="rId27" Type="http://schemas.openxmlformats.org/officeDocument/2006/relationships/hyperlink" Target="https://www.python.org/" TargetMode="External"/><Relationship Id="rId30" Type="http://schemas.openxmlformats.org/officeDocument/2006/relationships/hyperlink" Target="https://matplotlib.org/" TargetMode="External"/><Relationship Id="rId35" Type="http://schemas.openxmlformats.org/officeDocument/2006/relationships/hyperlink" Target="https://nanoporetech.com/"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image" Target="media/image2.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8987</Words>
  <Characters>51227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2021-03-12T19:40:00Z</dcterms:created>
  <dcterms:modified xsi:type="dcterms:W3CDTF">2021-03-12T19:40:00Z</dcterms:modified>
</cp:coreProperties>
</file>