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17CE" w:rsidRDefault="006265B5">
      <w:pPr>
        <w:spacing w:after="197" w:line="259" w:lineRule="auto"/>
        <w:ind w:left="0" w:firstLine="0"/>
        <w:jc w:val="center"/>
      </w:pPr>
      <w:r>
        <w:rPr>
          <w:b/>
          <w:sz w:val="34"/>
        </w:rPr>
        <w:t>Transcription-dependent DNA supercoils determine the 3D organization of dinoflagellate genomes</w:t>
      </w:r>
    </w:p>
    <w:p w:rsidR="00DB17CE" w:rsidRDefault="006265B5">
      <w:pPr>
        <w:spacing w:after="142" w:line="258" w:lineRule="auto"/>
        <w:ind w:left="0" w:firstLine="0"/>
        <w:jc w:val="center"/>
      </w:pPr>
      <w:r>
        <w:rPr>
          <w:rFonts w:ascii="Calibri" w:eastAsia="Calibri" w:hAnsi="Calibri" w:cs="Calibri"/>
        </w:rPr>
        <w:t>Georgi K. Marinov</w:t>
      </w:r>
      <w:r>
        <w:rPr>
          <w:vertAlign w:val="superscript"/>
        </w:rPr>
        <w:t>1,,*,#</w:t>
      </w:r>
      <w:r>
        <w:rPr>
          <w:rFonts w:ascii="Calibri" w:eastAsia="Calibri" w:hAnsi="Calibri" w:cs="Calibri"/>
        </w:rPr>
        <w:t>, Alexandro E. Trevino</w:t>
      </w:r>
      <w:r>
        <w:rPr>
          <w:vertAlign w:val="superscript"/>
        </w:rPr>
        <w:t>3,7,*</w:t>
      </w:r>
      <w:r>
        <w:rPr>
          <w:rFonts w:ascii="Calibri" w:eastAsia="Calibri" w:hAnsi="Calibri" w:cs="Calibri"/>
        </w:rPr>
        <w:t>, Tingting Xiang</w:t>
      </w:r>
      <w:r>
        <w:rPr>
          <w:vertAlign w:val="superscript"/>
        </w:rPr>
        <w:t>2,8,*</w:t>
      </w:r>
      <w:r>
        <w:rPr>
          <w:rFonts w:ascii="Calibri" w:eastAsia="Calibri" w:hAnsi="Calibri" w:cs="Calibri"/>
        </w:rPr>
        <w:t>, John R. Pringle</w:t>
      </w:r>
      <w:r>
        <w:rPr>
          <w:vertAlign w:val="superscript"/>
        </w:rPr>
        <w:t>1</w:t>
      </w:r>
      <w:r>
        <w:rPr>
          <w:rFonts w:ascii="Calibri" w:eastAsia="Calibri" w:hAnsi="Calibri" w:cs="Calibri"/>
        </w:rPr>
        <w:t>, Anshul Kundaje</w:t>
      </w:r>
      <w:r>
        <w:rPr>
          <w:vertAlign w:val="superscript"/>
        </w:rPr>
        <w:t>1,6</w:t>
      </w:r>
      <w:r>
        <w:rPr>
          <w:rFonts w:ascii="Calibri" w:eastAsia="Calibri" w:hAnsi="Calibri" w:cs="Calibri"/>
        </w:rPr>
        <w:t>, Arthur R. Grossman</w:t>
      </w:r>
      <w:r>
        <w:rPr>
          <w:vertAlign w:val="superscript"/>
        </w:rPr>
        <w:t>2</w:t>
      </w:r>
      <w:r>
        <w:rPr>
          <w:rFonts w:ascii="Calibri" w:eastAsia="Calibri" w:hAnsi="Calibri" w:cs="Calibri"/>
        </w:rPr>
        <w:t>, and William J. Greenleaf</w:t>
      </w:r>
      <w:r>
        <w:rPr>
          <w:vertAlign w:val="superscript"/>
        </w:rPr>
        <w:t>1,3,4,5,#</w:t>
      </w:r>
    </w:p>
    <w:p w:rsidR="00DB17CE" w:rsidRDefault="006265B5">
      <w:pPr>
        <w:numPr>
          <w:ilvl w:val="0"/>
          <w:numId w:val="1"/>
        </w:numPr>
        <w:spacing w:after="0" w:line="216" w:lineRule="auto"/>
        <w:ind w:right="1532" w:firstLine="0"/>
        <w:jc w:val="left"/>
      </w:pPr>
      <w:r>
        <w:rPr>
          <w:i/>
          <w:sz w:val="18"/>
        </w:rPr>
        <w:t>Department of Genetics, Stanford University, Stanford, California 94305, USA</w:t>
      </w:r>
    </w:p>
    <w:p w:rsidR="00DB17CE" w:rsidRDefault="006265B5">
      <w:pPr>
        <w:numPr>
          <w:ilvl w:val="0"/>
          <w:numId w:val="1"/>
        </w:numPr>
        <w:spacing w:after="0" w:line="216" w:lineRule="auto"/>
        <w:ind w:right="1532" w:firstLine="0"/>
        <w:jc w:val="left"/>
      </w:pPr>
      <w:r>
        <w:rPr>
          <w:i/>
          <w:sz w:val="18"/>
        </w:rPr>
        <w:t>Carnegie Institution for Science, Department of Plant Biology, Stanford, California 94305, USA</w:t>
      </w:r>
    </w:p>
    <w:p w:rsidR="00DB17CE" w:rsidRDefault="006265B5">
      <w:pPr>
        <w:numPr>
          <w:ilvl w:val="0"/>
          <w:numId w:val="1"/>
        </w:numPr>
        <w:spacing w:after="0" w:line="216" w:lineRule="auto"/>
        <w:ind w:right="1532" w:firstLine="0"/>
        <w:jc w:val="left"/>
      </w:pPr>
      <w:r>
        <w:rPr>
          <w:i/>
          <w:sz w:val="18"/>
        </w:rPr>
        <w:t>Center for Personal Dynamic Regulomes, Stanford University, Stanford, Cali</w:t>
      </w:r>
      <w:r>
        <w:rPr>
          <w:i/>
          <w:sz w:val="18"/>
        </w:rPr>
        <w:t>fornia 94305, USA</w:t>
      </w:r>
    </w:p>
    <w:p w:rsidR="00DB17CE" w:rsidRDefault="006265B5">
      <w:pPr>
        <w:numPr>
          <w:ilvl w:val="0"/>
          <w:numId w:val="1"/>
        </w:numPr>
        <w:spacing w:after="0" w:line="216" w:lineRule="auto"/>
        <w:ind w:right="1532" w:firstLine="0"/>
        <w:jc w:val="left"/>
      </w:pPr>
      <w:r>
        <w:rPr>
          <w:i/>
          <w:sz w:val="18"/>
        </w:rPr>
        <w:t>Department of Applied Physics, Stanford University, Stanford, California 94305, USA</w:t>
      </w:r>
    </w:p>
    <w:p w:rsidR="00DB17CE" w:rsidRDefault="006265B5">
      <w:pPr>
        <w:spacing w:after="0" w:line="259" w:lineRule="auto"/>
        <w:ind w:left="2674"/>
        <w:jc w:val="left"/>
      </w:pPr>
      <w:r>
        <w:rPr>
          <w:sz w:val="12"/>
        </w:rPr>
        <w:t>5</w:t>
      </w:r>
    </w:p>
    <w:p w:rsidR="00DB17CE" w:rsidRDefault="006265B5">
      <w:pPr>
        <w:spacing w:after="0" w:line="265" w:lineRule="auto"/>
        <w:ind w:left="140" w:right="47"/>
        <w:jc w:val="center"/>
      </w:pPr>
      <w:r>
        <w:rPr>
          <w:i/>
          <w:sz w:val="18"/>
        </w:rPr>
        <w:t>Chan Zuckerberg Biohub, San Francisco, California, USA</w:t>
      </w:r>
    </w:p>
    <w:p w:rsidR="00DB17CE" w:rsidRDefault="006265B5">
      <w:pPr>
        <w:numPr>
          <w:ilvl w:val="0"/>
          <w:numId w:val="2"/>
        </w:numPr>
        <w:spacing w:after="0" w:line="216" w:lineRule="auto"/>
        <w:ind w:right="1438" w:firstLine="0"/>
        <w:jc w:val="left"/>
      </w:pPr>
      <w:r>
        <w:rPr>
          <w:i/>
          <w:sz w:val="18"/>
        </w:rPr>
        <w:t>Department of Computer Science, Stanford University, Stanford, California 94305, USA</w:t>
      </w:r>
    </w:p>
    <w:p w:rsidR="00DB17CE" w:rsidRDefault="006265B5">
      <w:pPr>
        <w:numPr>
          <w:ilvl w:val="0"/>
          <w:numId w:val="2"/>
        </w:numPr>
        <w:spacing w:after="0" w:line="216" w:lineRule="auto"/>
        <w:ind w:right="1438" w:firstLine="0"/>
        <w:jc w:val="left"/>
      </w:pPr>
      <w:r>
        <w:rPr>
          <w:i/>
          <w:sz w:val="18"/>
        </w:rPr>
        <w:t>Department o</w:t>
      </w:r>
      <w:r>
        <w:rPr>
          <w:i/>
          <w:sz w:val="18"/>
        </w:rPr>
        <w:t>f Bioengineering, Stanford University, Stanford, California 94305, USA</w:t>
      </w:r>
    </w:p>
    <w:p w:rsidR="00DB17CE" w:rsidRDefault="006265B5">
      <w:pPr>
        <w:numPr>
          <w:ilvl w:val="0"/>
          <w:numId w:val="2"/>
        </w:numPr>
        <w:spacing w:after="0" w:line="216" w:lineRule="auto"/>
        <w:ind w:right="1438" w:firstLine="0"/>
        <w:jc w:val="left"/>
      </w:pPr>
      <w:r>
        <w:rPr>
          <w:i/>
          <w:sz w:val="18"/>
        </w:rPr>
        <w:t>Department of Biological Sciences, University of North Carolina at Charlotte, Charlotte, NC 28223, USA</w:t>
      </w:r>
    </w:p>
    <w:p w:rsidR="00DB17CE" w:rsidRDefault="006265B5">
      <w:pPr>
        <w:spacing w:after="0" w:line="216" w:lineRule="auto"/>
        <w:ind w:left="3242" w:right="3149" w:hanging="93"/>
        <w:jc w:val="left"/>
      </w:pPr>
      <w:r>
        <w:rPr>
          <w:sz w:val="12"/>
        </w:rPr>
        <w:t xml:space="preserve">* </w:t>
      </w:r>
      <w:r>
        <w:rPr>
          <w:i/>
          <w:sz w:val="18"/>
        </w:rPr>
        <w:t>These authors contributed equally to this work</w:t>
      </w:r>
    </w:p>
    <w:p w:rsidR="00DB17CE" w:rsidRDefault="006265B5">
      <w:pPr>
        <w:spacing w:after="0" w:line="259" w:lineRule="auto"/>
        <w:ind w:left="4122"/>
        <w:jc w:val="left"/>
      </w:pPr>
      <w:r>
        <w:rPr>
          <w:sz w:val="12"/>
        </w:rPr>
        <w:t>#</w:t>
      </w:r>
    </w:p>
    <w:p w:rsidR="00DB17CE" w:rsidRDefault="006265B5">
      <w:pPr>
        <w:spacing w:after="683" w:line="265" w:lineRule="auto"/>
        <w:ind w:left="140"/>
        <w:jc w:val="center"/>
      </w:pPr>
      <w:r>
        <w:rPr>
          <w:i/>
          <w:sz w:val="18"/>
        </w:rPr>
        <w:t>Corresponding author</w:t>
      </w:r>
    </w:p>
    <w:p w:rsidR="00DB17CE" w:rsidRDefault="006265B5">
      <w:pPr>
        <w:pStyle w:val="Heading1"/>
        <w:spacing w:after="250" w:line="259" w:lineRule="auto"/>
        <w:ind w:left="0" w:firstLine="0"/>
      </w:pPr>
      <w:r>
        <w:rPr>
          <w:sz w:val="18"/>
        </w:rPr>
        <w:t>Abstract</w:t>
      </w:r>
    </w:p>
    <w:p w:rsidR="00DB17CE" w:rsidRDefault="006265B5">
      <w:pPr>
        <w:spacing w:after="228" w:line="239" w:lineRule="auto"/>
        <w:ind w:left="284" w:right="274"/>
      </w:pPr>
      <w:r>
        <w:rPr>
          <w:b/>
        </w:rPr>
        <w:t xml:space="preserve">Unlike most eukaryotes, dinoflagellate chromosomes exist in a permanently condensed, liquid crystalline state and are primarily packaged by proteins of viral and bacterial origin, rather than by nucleosomal histones. Genes are organized into polycistronic </w:t>
      </w:r>
      <w:r>
        <w:rPr>
          <w:b/>
        </w:rPr>
        <w:t xml:space="preserve">arrays, and gene regulation is thought to be largely post-transcriptional. How dinoflagellate chromosomes are physically organized has long remained a mystery. Here, we analyze the 3D genome structure of </w:t>
      </w:r>
      <w:r>
        <w:rPr>
          <w:rFonts w:ascii="Calibri" w:eastAsia="Calibri" w:hAnsi="Calibri" w:cs="Calibri"/>
          <w:i/>
        </w:rPr>
        <w:t>Breviolum minutum</w:t>
      </w:r>
      <w:r>
        <w:rPr>
          <w:b/>
        </w:rPr>
        <w:t xml:space="preserve">, a coral symbiont dinoflagellate. </w:t>
      </w:r>
      <w:r>
        <w:rPr>
          <w:b/>
        </w:rPr>
        <w:t>We find that the genome partitions into topologically associating domains of 100-2000 kilobases, not associated with chromatin loops. Domain boundaries instead correspond to transitions between convergent gene arrays. Importantly, transcriptional inhibitio</w:t>
      </w:r>
      <w:r>
        <w:rPr>
          <w:b/>
        </w:rPr>
        <w:t>n degrades these domains. This study points to transcription-induced supercoiling as a fundamental force shaping the physical genome.</w:t>
      </w:r>
    </w:p>
    <w:p w:rsidR="00DB17CE" w:rsidRDefault="00DB17CE">
      <w:pPr>
        <w:sectPr w:rsidR="00DB17CE">
          <w:headerReference w:type="even" r:id="rId7"/>
          <w:headerReference w:type="default" r:id="rId8"/>
          <w:footerReference w:type="even" r:id="rId9"/>
          <w:footerReference w:type="default" r:id="rId10"/>
          <w:headerReference w:type="first" r:id="rId11"/>
          <w:footerReference w:type="first" r:id="rId12"/>
          <w:pgSz w:w="12240" w:h="15840"/>
          <w:pgMar w:top="1931" w:right="1075" w:bottom="1440" w:left="1074" w:header="720" w:footer="497" w:gutter="0"/>
          <w:cols w:space="720"/>
        </w:sectPr>
      </w:pPr>
    </w:p>
    <w:p w:rsidR="00DB17CE" w:rsidRDefault="006265B5">
      <w:pPr>
        <w:spacing w:after="220"/>
        <w:ind w:left="-15" w:firstLine="299"/>
      </w:pPr>
      <w:r>
        <w:t>The three dimensional organization of genomes and its functional consequences have attracted much attention in recent years, especially in mammalian systems. These studies have by now identified multiple physical mechanisms underlying genome folding (2). T</w:t>
      </w:r>
      <w:r>
        <w:t>wo main topological forces are currently thought to drive 3D organization. Associations between similar chromatin states drive the formation of compartments, and this mechanism is probably present in most eukaryotes (2). Better known (and more prominent in</w:t>
      </w:r>
      <w:r>
        <w:t xml:space="preserve"> mammalian genomes) are the constraints on cohesinmediated loop extrusion (4), imposed by pairs of boundary elements specified by occupancy sites of the CTCF insulation factor. They drive the formation of topologically associating loop extrusion domains (T</w:t>
      </w:r>
      <w:r>
        <w:t>ADs), approximately 100-1000 kbp in size (4).</w:t>
      </w:r>
    </w:p>
    <w:p w:rsidR="00DB17CE" w:rsidRDefault="006265B5">
      <w:pPr>
        <w:spacing w:after="100"/>
        <w:ind w:left="-15" w:firstLine="299"/>
      </w:pPr>
      <w:r>
        <w:t xml:space="preserve">Three-dimensional genome architecture has been proposed to have multiple important functional consequences for gene regulation (5, 6), organismal development (7), replication (8), mutational processes (9), and </w:t>
      </w:r>
      <w:r>
        <w:t>others. However, how functional activity in turn impacts genome organization is still poorly understood, and little is known how these biophysical properties vary across eukaryotes.</w:t>
      </w:r>
    </w:p>
    <w:p w:rsidR="00DB17CE" w:rsidRDefault="006265B5">
      <w:pPr>
        <w:spacing w:after="100"/>
        <w:ind w:left="-15" w:firstLine="299"/>
      </w:pPr>
      <w:r>
        <w:t xml:space="preserve">Dinoflagellates are a diverse, widespread lineage of eukaryotes that play </w:t>
      </w:r>
      <w:r>
        <w:t>major roles in aquatic ecosystems. As an example, the association of dinoflagellates in the Symbiodiniaceae clade (10) with reef-building coral species provides the metabolic basis for vital and highly biologically diverse reef ecosystems.</w:t>
      </w:r>
    </w:p>
    <w:p w:rsidR="00DB17CE" w:rsidRDefault="006265B5">
      <w:pPr>
        <w:ind w:left="-15" w:firstLine="299"/>
      </w:pPr>
      <w:r>
        <w:t xml:space="preserve">Dinoflagellates </w:t>
      </w:r>
      <w:r>
        <w:t xml:space="preserve">are also a unique lineage possessing numerous highly divergent molecular features relative to </w:t>
      </w:r>
      <w:r>
        <w:lastRenderedPageBreak/>
        <w:t>other eukaryotic organisms (11). Nucleosomal packaging of chromatin evolved in archaea and developed into its present form, shared across all eukaryotes, prior to</w:t>
      </w:r>
      <w:r>
        <w:t xml:space="preserve"> the time of the Last Eukaryotic Common Ancestor (LECA) (12). All living </w:t>
      </w:r>
      <w:r>
        <w:t>eukaryotes ancestrally possess four core nucleosomal histones (H2A, H2B, H3 and H4), each featuring long unstructured N-terminal tails. These tails, as well as a few residues in the h</w:t>
      </w:r>
      <w:r>
        <w:t>istone fold domain, are subject to ex-</w:t>
      </w:r>
    </w:p>
    <w:p w:rsidR="00DB17CE" w:rsidRDefault="00DB17CE">
      <w:pPr>
        <w:sectPr w:rsidR="00DB17CE">
          <w:type w:val="continuous"/>
          <w:pgSz w:w="12240" w:h="15840"/>
          <w:pgMar w:top="1440" w:right="850" w:bottom="1440" w:left="850" w:header="720" w:footer="720" w:gutter="0"/>
          <w:cols w:num="2" w:space="299"/>
        </w:sectPr>
      </w:pPr>
    </w:p>
    <w:p w:rsidR="00DB17CE" w:rsidRDefault="006265B5">
      <w:pPr>
        <w:spacing w:after="428" w:line="259" w:lineRule="auto"/>
        <w:ind w:left="26" w:firstLine="0"/>
        <w:jc w:val="left"/>
      </w:pPr>
      <w:r>
        <w:rPr>
          <w:noProof/>
        </w:rPr>
        <w:drawing>
          <wp:inline distT="0" distB="0" distL="0" distR="0">
            <wp:extent cx="6660476" cy="5842523"/>
            <wp:effectExtent l="0" t="0" r="0" b="0"/>
            <wp:docPr id="124" name="Pictu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3"/>
                    <a:stretch>
                      <a:fillRect/>
                    </a:stretch>
                  </pic:blipFill>
                  <pic:spPr>
                    <a:xfrm>
                      <a:off x="0" y="0"/>
                      <a:ext cx="6660476" cy="5842523"/>
                    </a:xfrm>
                    <a:prstGeom prst="rect">
                      <a:avLst/>
                    </a:prstGeom>
                  </pic:spPr>
                </pic:pic>
              </a:graphicData>
            </a:graphic>
          </wp:inline>
        </w:drawing>
      </w:r>
    </w:p>
    <w:p w:rsidR="00DB17CE" w:rsidRDefault="006265B5">
      <w:pPr>
        <w:spacing w:after="443"/>
        <w:ind w:left="-5"/>
      </w:pPr>
      <w:r>
        <w:rPr>
          <w:b/>
        </w:rPr>
        <w:t xml:space="preserve">Figure 1: </w:t>
      </w:r>
      <w:r>
        <w:rPr>
          <w:rFonts w:ascii="Calibri" w:eastAsia="Calibri" w:hAnsi="Calibri" w:cs="Calibri"/>
          <w:i/>
        </w:rPr>
        <w:t xml:space="preserve">B. minutum </w:t>
      </w:r>
      <w:r>
        <w:rPr>
          <w:b/>
        </w:rPr>
        <w:t>genome is physically partitioned into topological domains defined by polycistronic gene arrays</w:t>
      </w:r>
      <w:r>
        <w:t xml:space="preserve">. (A-C) Organization of dinoflagellate chromosomes. (A) Hi-C scaffolding of the </w:t>
      </w:r>
      <w:r>
        <w:rPr>
          <w:i/>
        </w:rPr>
        <w:t>B. minut</w:t>
      </w:r>
      <w:r>
        <w:rPr>
          <w:i/>
        </w:rPr>
        <w:t xml:space="preserve">um </w:t>
      </w:r>
      <w:r>
        <w:t xml:space="preserve">draft genome assembly identifies 91 major pseudochromosomes </w:t>
      </w:r>
      <w:r>
        <w:t>≥</w:t>
      </w:r>
      <w:r>
        <w:t>500kb in size. (B) Inset from (A). KR-normalized (1) 5-kb resolution Hi-C map for pseudochromosome 10. Pseudochromosomes are physically partitioned into strong topological domains (“dinoTADs”)</w:t>
      </w:r>
      <w:r>
        <w:t>. (C) Focus on a single topological domain, inset from (D). The usual signs of loop extrusion domains (presence of loops and stripes in Hi-C maps) are not observed in dinoTADs. (D) The number of dinoTADs per chromosome scales with chromosome size. (E) Comp</w:t>
      </w:r>
      <w:r>
        <w:t xml:space="preserve">arison of </w:t>
      </w:r>
      <w:r>
        <w:rPr>
          <w:i/>
        </w:rPr>
        <w:t xml:space="preserve">H. sapiens </w:t>
      </w:r>
      <w:r>
        <w:t xml:space="preserve">(grey) and </w:t>
      </w:r>
      <w:r>
        <w:rPr>
          <w:i/>
        </w:rPr>
        <w:t xml:space="preserve">B. minutum </w:t>
      </w:r>
      <w:r>
        <w:t xml:space="preserve">(yellow) topological domain sizes. (F-H) Boundaries of dinoTADs are primarily associated with transitions between convergent polycistronic gene arrays. (F) Shown is the Hi-C map for </w:t>
      </w:r>
      <w:r>
        <w:lastRenderedPageBreak/>
        <w:t>pseudochromosome 10 together wi</w:t>
      </w:r>
      <w:r>
        <w:t>th transcript levels on the forward and the reverse strands. (G) Average Hi-C contacts across dinoTAD boundaries. (H) Average forward- and reverse-strand RNA-seq contacts across dinoTAD boundaries.</w:t>
      </w:r>
    </w:p>
    <w:p w:rsidR="00DB17CE" w:rsidRDefault="006265B5">
      <w:pPr>
        <w:ind w:left="-5"/>
      </w:pPr>
      <w:r>
        <w:t>tensive posttranslational modifications, serving as recrui</w:t>
      </w:r>
      <w:r>
        <w:t>t- cesses involving chromatin. The code’s fundamental imporment platforms for effector domain-containing proteins thus tance is strongly underscored by the fact that key histone forming the basis of the so called “histone code”(13) and code residues are al</w:t>
      </w:r>
      <w:r>
        <w:t>most invariant across eukaryotes (14). playing important roles in essentially all biochemical pro- Dinoflagellates are a striking exception. Their chromo-</w:t>
      </w:r>
    </w:p>
    <w:p w:rsidR="00DB17CE" w:rsidRDefault="00DB17CE">
      <w:pPr>
        <w:sectPr w:rsidR="00DB17CE">
          <w:type w:val="continuous"/>
          <w:pgSz w:w="12240" w:h="15840"/>
          <w:pgMar w:top="1134" w:right="850" w:bottom="1440" w:left="850" w:header="720" w:footer="720" w:gutter="0"/>
          <w:cols w:space="720"/>
        </w:sectPr>
      </w:pPr>
    </w:p>
    <w:p w:rsidR="00DB17CE" w:rsidRDefault="006265B5">
      <w:pPr>
        <w:ind w:left="-5"/>
      </w:pPr>
      <w:r>
        <w:t>somes exist in a liquid crystalline state, are permanently condensed throughout the cell cy</w:t>
      </w:r>
      <w:r>
        <w:t>cle, and are characterized by a very low DNA to protein ratio of 1:10 (compared to the usual 1:1 (15)). This is because, even though histone genes (although highly divergent) are retained in dinoflagellate genomes (16), a combination of virusderived dinofl</w:t>
      </w:r>
      <w:r>
        <w:t>agellate-specific nucleoproteins (DVNPs) and bacterial-derived histone-like proteins (HLPs) have taken over as the main DNA packaging components (17, 18).</w:t>
      </w:r>
    </w:p>
    <w:p w:rsidR="00DB17CE" w:rsidRDefault="006265B5">
      <w:pPr>
        <w:ind w:left="-15" w:firstLine="299"/>
      </w:pPr>
      <w:r>
        <w:t>The functional organization of dinoflagellate genomes is also unusual, though not without some parall</w:t>
      </w:r>
      <w:r>
        <w:t xml:space="preserve">els (19), as genes are organized into polycistronic gene arrays transcribed as a single unit, with individual mRNAs generated through </w:t>
      </w:r>
      <w:r>
        <w:rPr>
          <w:i/>
        </w:rPr>
        <w:t>trans</w:t>
      </w:r>
      <w:r>
        <w:t>-splicing; it is generally thought that transcriptional regulation is largely absent. In addition, despite being rela</w:t>
      </w:r>
      <w:r>
        <w:t>tively small unicellular organisms, their genomes are often very large in size (up to two orders of magnitude larger than mammalian genomes).</w:t>
      </w:r>
    </w:p>
    <w:p w:rsidR="00DB17CE" w:rsidRDefault="006265B5">
      <w:pPr>
        <w:ind w:left="-15" w:firstLine="299"/>
      </w:pPr>
      <w:r>
        <w:t>These fascinating features of dinoflagellate nuclei simultaneously present numerous intriguing questions regarding</w:t>
      </w:r>
      <w:r>
        <w:t xml:space="preserve"> the adaptation of the conventional eukaryotic gene regulation mechanisms to the general absence of nucleosomal chromatin, and also provide an opportunity to explore the biophysical forces underlying genomic organization in the context of such an exception</w:t>
      </w:r>
      <w:r>
        <w:t>al natural experiment.</w:t>
      </w:r>
    </w:p>
    <w:p w:rsidR="00DB17CE" w:rsidRDefault="006265B5">
      <w:pPr>
        <w:ind w:left="-15" w:firstLine="299"/>
      </w:pPr>
      <w:r>
        <w:t xml:space="preserve">Here, we chart the 3D genome organization of the coral symbiont </w:t>
      </w:r>
      <w:r>
        <w:rPr>
          <w:i/>
        </w:rPr>
        <w:t xml:space="preserve">Breviolum minutum </w:t>
      </w:r>
      <w:r>
        <w:t xml:space="preserve">(previously </w:t>
      </w:r>
      <w:r>
        <w:rPr>
          <w:i/>
        </w:rPr>
        <w:t>Symbiodinium minutum</w:t>
      </w:r>
      <w:r>
        <w:t>), and uncover a novel mechanism for its formation.</w:t>
      </w:r>
    </w:p>
    <w:p w:rsidR="00DB17CE" w:rsidRDefault="006265B5">
      <w:pPr>
        <w:ind w:left="-15" w:firstLine="299"/>
      </w:pPr>
      <w:r>
        <w:t>We first generated three genome-wide chromosome conformation captur</w:t>
      </w:r>
      <w:r>
        <w:t xml:space="preserve">e (Hi-C) libraries for the </w:t>
      </w:r>
      <w:r>
        <w:rPr>
          <w:i/>
        </w:rPr>
        <w:t xml:space="preserve">B. minutum </w:t>
      </w:r>
      <w:r>
        <w:t xml:space="preserve">SSB01 strain using a slight modification of the standard </w:t>
      </w:r>
      <w:r>
        <w:rPr>
          <w:i/>
        </w:rPr>
        <w:t xml:space="preserve">in situ </w:t>
      </w:r>
      <w:r>
        <w:t xml:space="preserve">Hi-C protocol (4), including one under elevated temperature conditions. We obtained between </w:t>
      </w:r>
      <w:r>
        <w:t>∼</w:t>
      </w:r>
      <w:r>
        <w:t>150 and 220 million distinct Hi-C contacts from each library</w:t>
      </w:r>
      <w:r>
        <w:t xml:space="preserve"> (Supplementary Table 1). We pooled reads from all samples and processed them against the existing, highly fragmented </w:t>
      </w:r>
      <w:r>
        <w:rPr>
          <w:i/>
        </w:rPr>
        <w:t xml:space="preserve">B. minutum </w:t>
      </w:r>
      <w:r>
        <w:t xml:space="preserve">assembly (20), then used the resulting Hi-C maps to generate a chromosome-level assembly scaffolding using established methods </w:t>
      </w:r>
      <w:r>
        <w:t xml:space="preserve">(21) (see Supplementary Methods for details). The resulting assembly consists of 91 major pseudochromosomes </w:t>
      </w:r>
      <w:r>
        <w:t xml:space="preserve">≥ </w:t>
      </w:r>
      <w:r>
        <w:t xml:space="preserve">500 kbp in size, encompassing </w:t>
      </w:r>
      <w:r>
        <w:t>∼</w:t>
      </w:r>
      <w:r>
        <w:t xml:space="preserve">94% of the total sequence, with 85 of them </w:t>
      </w:r>
      <w:r>
        <w:t>≥</w:t>
      </w:r>
      <w:r>
        <w:t xml:space="preserve">1 Mbp (Figure 1A, B and Supplementary Figure 1 A). The longest major </w:t>
      </w:r>
      <w:r>
        <w:t>ps</w:t>
      </w:r>
      <w:r>
        <w:t xml:space="preserve">eudochromosomes are </w:t>
      </w:r>
      <w:r>
        <w:t>∼</w:t>
      </w:r>
      <w:r>
        <w:t>11 Mbp in size, with a median length of 6.7 Mbp (Supplementary Figure 1A). At 1-Mbp resolution, they exhibit a bipartite (on a few occasions tripartite) structure, with two major interacting domains (Supplementary Figure 2).</w:t>
      </w:r>
    </w:p>
    <w:p w:rsidR="00DB17CE" w:rsidRDefault="006265B5">
      <w:pPr>
        <w:ind w:left="-15" w:firstLine="299"/>
      </w:pPr>
      <w:r>
        <w:t>This assem</w:t>
      </w:r>
      <w:r>
        <w:t>bly likely underestimates the total genome size, as the original set of contigs clearly contains a number of collapsed repeats, a common feature of Hi-C-based genome assemblies (Figure 1A, lower right). We note that our assembly disagrees with published re</w:t>
      </w:r>
      <w:r>
        <w:t xml:space="preserve">ports, which suggest </w:t>
      </w:r>
      <w:r>
        <w:t>∼</w:t>
      </w:r>
      <w:r>
        <w:t xml:space="preserve">20 chromosomes based on microscopy images (20). Nonetheless, Hi-C analysis strongly suggests the physical separation of a larger number of pseudochromosomes in the nucleus, as does the recent chromosome-level assembly of </w:t>
      </w:r>
      <w:r>
        <w:rPr>
          <w:i/>
        </w:rPr>
        <w:t xml:space="preserve">F. kawagutii </w:t>
      </w:r>
      <w:r>
        <w:t>(another Symbiodiniaceae species) (22). We expect truly complete assemblies that leverage a combination of long-read and Hi-C sequencing methods to become available in the near future.</w:t>
      </w:r>
    </w:p>
    <w:p w:rsidR="00DB17CE" w:rsidRDefault="006265B5">
      <w:pPr>
        <w:ind w:left="-15" w:firstLine="299"/>
      </w:pPr>
      <w:r>
        <w:t>High-resolution (5 kbp) maps revealed the existence of strong topologic</w:t>
      </w:r>
      <w:r>
        <w:t xml:space="preserve">al domains ranging in length from </w:t>
      </w:r>
      <w:r>
        <w:t xml:space="preserve">≤ </w:t>
      </w:r>
      <w:r>
        <w:t xml:space="preserve">200 kbp to </w:t>
      </w:r>
      <w:r>
        <w:t>≥</w:t>
      </w:r>
      <w:r>
        <w:t>2 Mbp (Figure 1B-E, Supplementary Figures 3– 12). In mammals, where TADs are best documented (4), TAD boundaries are demarcated by opposite-orientation pairs of CTCF sites blocking the process of loop extrusi</w:t>
      </w:r>
      <w:r>
        <w:t xml:space="preserve">on by cohesin rings (2). Constraints on loop extrusion are reflected in high-resolution Hi-C maps by the presence of loops at TAD boundaries and “stripes” on the edges of TAD blocks (6). However, we observed no loop or stripe features in </w:t>
      </w:r>
      <w:r>
        <w:rPr>
          <w:i/>
        </w:rPr>
        <w:t xml:space="preserve">B. minutum </w:t>
      </w:r>
      <w:r>
        <w:t>(Figure</w:t>
      </w:r>
      <w:r>
        <w:t xml:space="preserve"> 1C), suggesting that dinoflagellate TADs are formed by a different mechanism. We term these domains “dinoTADs” to distinguish them from the loop extrusion-related domains in vertebrates. The number of dinoTADs appears to be a function of the chromosome si</w:t>
      </w:r>
      <w:r>
        <w:t>ze (Figure 1D), while comparison with mammalian TADs reveals dinoTADs to be considerably larger (Figure 1E).</w:t>
      </w:r>
    </w:p>
    <w:p w:rsidR="00DB17CE" w:rsidRDefault="006265B5">
      <w:pPr>
        <w:ind w:left="-15" w:firstLine="299"/>
      </w:pPr>
      <w:r>
        <w:t xml:space="preserve">In order to understand the formation of dinoTADs, we compared Hi-C maps to available annotation features for </w:t>
      </w:r>
      <w:r>
        <w:rPr>
          <w:i/>
        </w:rPr>
        <w:t>B. minutum</w:t>
      </w:r>
      <w:r>
        <w:t>, in particular transcriptom</w:t>
      </w:r>
      <w:r>
        <w:t>ic data (Supplementary Methods). Remarkably, we found that each dinoTAD corresponds to a pair of divergent gene arrays (Figure 1F), while boundaries between dinoTADs coincide with regions of convergence between gene arrays (Figure 1G-H).</w:t>
      </w:r>
    </w:p>
    <w:p w:rsidR="00DB17CE" w:rsidRDefault="006265B5">
      <w:pPr>
        <w:ind w:left="-15" w:firstLine="299"/>
      </w:pPr>
      <w:r>
        <w:t xml:space="preserve">Numerous models for dinoflagellate chromosome organization have been suggested since the 1960s, primarily </w:t>
      </w:r>
      <w:r>
        <w:lastRenderedPageBreak/>
        <w:t>based on electron microscopy. These include proposals that chromosomes are organized as “toroidal chromonemas” (24), “stacks of discs” (25), “cored pi</w:t>
      </w:r>
      <w:r>
        <w:t>neapples” (26), or around “central core fibers” (27). Most of these models imply specific topological constraints maintaining the proposed shapes.</w:t>
      </w:r>
    </w:p>
    <w:p w:rsidR="00DB17CE" w:rsidRDefault="006265B5">
      <w:pPr>
        <w:ind w:left="-15" w:firstLine="299"/>
      </w:pPr>
      <w:r>
        <w:t>The Hi-C patterns we observe instead strongly suggest a role for dynamic transcription-dependent DNA supercoi</w:t>
      </w:r>
      <w:r>
        <w:t xml:space="preserve">ling in dinoTAD formation. Studies of 3D genome organization in bacteria have suggested that transcription can cause the formation of self-interacting domains (28), and similar mechanisms have been proposed as an explanation for </w:t>
      </w:r>
      <w:r>
        <w:t>topological features observ</w:t>
      </w:r>
      <w:r>
        <w:t xml:space="preserve">ed in the yeast </w:t>
      </w:r>
      <w:r>
        <w:rPr>
          <w:i/>
        </w:rPr>
        <w:t xml:space="preserve">Schizosaccharomyces pombe </w:t>
      </w:r>
      <w:r>
        <w:t>(29). Transcription can affect topological features due to its effects on DNA supercoiling (30) – the torque generated by RNA polymerase causes positive supercoiling in front of the transcription bubble and negativ</w:t>
      </w:r>
      <w:r>
        <w:t>e supercoiling behind it. Formation of plectonemes, nucleosome remodeling, or alteration in DNA structure are among the possible consequences (31). Transcription-driven plectoneme formation coinciding with long dinoflagellate gene arrays is an intuitive ex</w:t>
      </w:r>
      <w:r>
        <w:t>planation for the compact dinoTADs we observe, although it is also possible that other topological constraints are responsible.</w:t>
      </w:r>
    </w:p>
    <w:p w:rsidR="00DB17CE" w:rsidRDefault="00DB17CE">
      <w:pPr>
        <w:sectPr w:rsidR="00DB17CE">
          <w:type w:val="continuous"/>
          <w:pgSz w:w="12240" w:h="15840"/>
          <w:pgMar w:top="1440" w:right="850" w:bottom="1440" w:left="850" w:header="720" w:footer="720" w:gutter="0"/>
          <w:cols w:num="2" w:space="299"/>
        </w:sectPr>
      </w:pPr>
    </w:p>
    <w:p w:rsidR="00DB17CE" w:rsidRDefault="006265B5">
      <w:pPr>
        <w:spacing w:after="228" w:line="259" w:lineRule="auto"/>
        <w:ind w:left="25" w:firstLine="0"/>
        <w:jc w:val="left"/>
      </w:pPr>
      <w:r>
        <w:rPr>
          <w:noProof/>
        </w:rPr>
        <w:drawing>
          <wp:inline distT="0" distB="0" distL="0" distR="0">
            <wp:extent cx="6660081" cy="5164790"/>
            <wp:effectExtent l="0" t="0" r="0" b="0"/>
            <wp:docPr id="394" name="Picture 394"/>
            <wp:cNvGraphicFramePr/>
            <a:graphic xmlns:a="http://schemas.openxmlformats.org/drawingml/2006/main">
              <a:graphicData uri="http://schemas.openxmlformats.org/drawingml/2006/picture">
                <pic:pic xmlns:pic="http://schemas.openxmlformats.org/drawingml/2006/picture">
                  <pic:nvPicPr>
                    <pic:cNvPr id="394" name="Picture 394"/>
                    <pic:cNvPicPr/>
                  </pic:nvPicPr>
                  <pic:blipFill>
                    <a:blip r:embed="rId14"/>
                    <a:stretch>
                      <a:fillRect/>
                    </a:stretch>
                  </pic:blipFill>
                  <pic:spPr>
                    <a:xfrm>
                      <a:off x="0" y="0"/>
                      <a:ext cx="6660081" cy="5164790"/>
                    </a:xfrm>
                    <a:prstGeom prst="rect">
                      <a:avLst/>
                    </a:prstGeom>
                  </pic:spPr>
                </pic:pic>
              </a:graphicData>
            </a:graphic>
          </wp:inline>
        </w:drawing>
      </w:r>
    </w:p>
    <w:p w:rsidR="00DB17CE" w:rsidRDefault="006265B5">
      <w:pPr>
        <w:ind w:left="-5"/>
      </w:pPr>
      <w:r>
        <w:rPr>
          <w:b/>
        </w:rPr>
        <w:t>Figure 2: Decompaction of dinoTADs upon transcriptional inhibition supports the transcription-induced supercoiling</w:t>
      </w:r>
      <w:r>
        <w:rPr>
          <w:b/>
        </w:rPr>
        <w:t xml:space="preserve"> model for their formation</w:t>
      </w:r>
      <w:r>
        <w:t xml:space="preserve">. Shown is pseudochromosome 10 as in Figure 1. (A) Outline of transcription inhibition experiments carried out using </w:t>
      </w:r>
      <w:r>
        <w:rPr>
          <w:i/>
        </w:rPr>
        <w:t>α</w:t>
      </w:r>
      <w:r>
        <w:t>-amanitin (orange) and triptolide (purple). (B) Time course and dosages of transcriptional inhibition. (C) Compa</w:t>
      </w:r>
      <w:r>
        <w:t xml:space="preserve">rison of cell function, measured by PSII photosythetic efficiency test (left), and cell viability, measured by a colony counting assay (right), between </w:t>
      </w:r>
      <w:r>
        <w:rPr>
          <w:i/>
        </w:rPr>
        <w:t>α</w:t>
      </w:r>
      <w:r>
        <w:t xml:space="preserve">-amanitin-treated and untreated samples over time. (D) KR-normalized Hi-C maps (50-kb resolution) at 0 </w:t>
      </w:r>
      <w:r>
        <w:t xml:space="preserve">hours, 24 hours and 48 hours (high dose) after </w:t>
      </w:r>
      <w:r>
        <w:rPr>
          <w:i/>
        </w:rPr>
        <w:t>α</w:t>
      </w:r>
      <w:r>
        <w:t xml:space="preserve">-amanitin treatment show </w:t>
      </w:r>
      <w:r>
        <w:lastRenderedPageBreak/>
        <w:t>marked loss of dinoTADs. (E) KR-normalized Hi-C maps (50-kb resolution) at 8 hours, 24 hours and 48 hours (high dose) after triptolide treatment show reduction of insulation at dinoTA</w:t>
      </w:r>
      <w:r>
        <w:t xml:space="preserve">D boundaries. (F) Metaplots of Hi-C signal around domain boundaries (50-kb resolution; see Supplementary Methods for details). (G) Amplification of </w:t>
      </w:r>
      <w:r>
        <w:rPr>
          <w:i/>
        </w:rPr>
        <w:t xml:space="preserve">TOP2 </w:t>
      </w:r>
      <w:r>
        <w:t xml:space="preserve">and </w:t>
      </w:r>
      <w:r>
        <w:rPr>
          <w:i/>
        </w:rPr>
        <w:t xml:space="preserve">TOP3 </w:t>
      </w:r>
      <w:r>
        <w:t>topoisomerase homolog genes in dinoflagellates compated to other unicellular eukaryotes. Trans</w:t>
      </w:r>
      <w:r>
        <w:t>criptome assemblies from the MMETSP (23) were used (See Supplementary Methods for details). (H) Transcription-induced supercoiling as the main topological force driving the physical organization of dinoflagellate chromosomes. Transcribing RNA Polymerase mo</w:t>
      </w:r>
      <w:r>
        <w:t>lecules introduce negative and positive DNA supercoling behind and ahead of the transcription machinery, respectively, and the interactions of negatively supercoiled domains could explain the physical association of divergently-oriented gene arrays. Topolo</w:t>
      </w:r>
      <w:r>
        <w:t>gical insulation could be driven by supercoiling-related effects, or by unknown boundary elements. Also unknown at present is the role of the expanded repertoire of topoisomerases.</w:t>
      </w:r>
    </w:p>
    <w:p w:rsidR="00DB17CE" w:rsidRDefault="00DB17CE">
      <w:pPr>
        <w:sectPr w:rsidR="00DB17CE">
          <w:type w:val="continuous"/>
          <w:pgSz w:w="12240" w:h="15840"/>
          <w:pgMar w:top="1440" w:right="850" w:bottom="1440" w:left="850" w:header="720" w:footer="720" w:gutter="0"/>
          <w:cols w:space="720"/>
        </w:sectPr>
      </w:pPr>
    </w:p>
    <w:p w:rsidR="00DB17CE" w:rsidRDefault="006265B5">
      <w:pPr>
        <w:spacing w:after="59"/>
        <w:ind w:left="-15" w:firstLine="299"/>
      </w:pPr>
      <w:r>
        <w:t>The transcription-induced supercoiling model makes a clear predicti</w:t>
      </w:r>
      <w:r>
        <w:t>on that can distinguish these possibilities – inhibition of transcription should lead to the decompaction of dinoTADs.</w:t>
      </w:r>
    </w:p>
    <w:p w:rsidR="00DB17CE" w:rsidRDefault="006265B5">
      <w:pPr>
        <w:ind w:left="-15" w:firstLine="299"/>
      </w:pPr>
      <w:r>
        <w:t xml:space="preserve">We first compared Hi-C maps for </w:t>
      </w:r>
      <w:r>
        <w:rPr>
          <w:i/>
        </w:rPr>
        <w:t xml:space="preserve">B. minutum </w:t>
      </w:r>
      <w:r>
        <w:t>cells grown at 27</w:t>
      </w:r>
      <w:r>
        <w:rPr>
          <w:vertAlign w:val="superscript"/>
        </w:rPr>
        <w:t>◦</w:t>
      </w:r>
      <w:r>
        <w:t>C and at 34</w:t>
      </w:r>
      <w:r>
        <w:rPr>
          <w:vertAlign w:val="superscript"/>
        </w:rPr>
        <w:t>◦</w:t>
      </w:r>
      <w:r>
        <w:t xml:space="preserve">C, as exposure to heat stress could result in general reduction </w:t>
      </w:r>
      <w:r>
        <w:t>in transcription activity (32). Indeed, while we do not observe disappearance of dinoTADs in the 34</w:t>
      </w:r>
      <w:r>
        <w:rPr>
          <w:vertAlign w:val="superscript"/>
        </w:rPr>
        <w:t>◦</w:t>
      </w:r>
      <w:r>
        <w:t>C sample, we do observe mild dinoTAD decompaction and an increase in interactions across dinoTAD boundaries (Supplementary Figures 18–20).</w:t>
      </w:r>
    </w:p>
    <w:p w:rsidR="00DB17CE" w:rsidRDefault="006265B5">
      <w:pPr>
        <w:ind w:left="-15" w:firstLine="299"/>
      </w:pPr>
      <w:r>
        <w:t xml:space="preserve">To directly test </w:t>
      </w:r>
      <w:r>
        <w:t xml:space="preserve">the transcription-induced supercoiling model, we carried out transcription inhibition experiments using </w:t>
      </w:r>
      <w:r>
        <w:rPr>
          <w:i/>
        </w:rPr>
        <w:t>α</w:t>
      </w:r>
      <w:r>
        <w:t>-amanitin and triptolide (Figure 2A-B). Triptolide prevents transcription initiation by targeting the XPB subunit of the TFIIH complex, and is fast act</w:t>
      </w:r>
      <w:r>
        <w:t xml:space="preserve">ing (within hours). In contract, </w:t>
      </w:r>
      <w:r>
        <w:rPr>
          <w:i/>
        </w:rPr>
        <w:t>α</w:t>
      </w:r>
      <w:r>
        <w:t xml:space="preserve">-amanitin directly inhibits RNA Polymerase II, and usually takes </w:t>
      </w:r>
      <w:r>
        <w:t>≥</w:t>
      </w:r>
      <w:r>
        <w:t xml:space="preserve">12 hours to act due to its slow uptake by cells (33). We note that well-established transcription inhibition conditions for </w:t>
      </w:r>
      <w:r>
        <w:rPr>
          <w:i/>
        </w:rPr>
        <w:t xml:space="preserve">B. minutum </w:t>
      </w:r>
      <w:r>
        <w:t>are lacking, and it i</w:t>
      </w:r>
      <w:r>
        <w:t>s quite possible that inhibitor uptake is more difficult than in mammalian cells. It is also possible that triptolide does not strongly inhibit transcription due to the divergence of dinoflagellate transcription machinery components. We therefore carried o</w:t>
      </w:r>
      <w:r>
        <w:t>ut two sets of experiments, one using a “normal” dose for each inhibitor (the one usually used for mammalian cells) and a “high” dose (4</w:t>
      </w:r>
      <w:r>
        <w:t xml:space="preserve">× </w:t>
      </w:r>
      <w:r>
        <w:t xml:space="preserve">higher), harvesting cells at 0, 8, 24 and 48 hours for triptolide and at 0, 16, 24 and 48 hours for </w:t>
      </w:r>
      <w:r>
        <w:rPr>
          <w:i/>
        </w:rPr>
        <w:t>α</w:t>
      </w:r>
      <w:r>
        <w:t>-amanitin.</w:t>
      </w:r>
    </w:p>
    <w:p w:rsidR="00DB17CE" w:rsidRDefault="006265B5">
      <w:pPr>
        <w:spacing w:after="58"/>
        <w:ind w:left="-15" w:firstLine="299"/>
      </w:pPr>
      <w:r>
        <w:t>Of not</w:t>
      </w:r>
      <w:r>
        <w:t xml:space="preserve">e, we found that even a high concentration of 4 </w:t>
      </w:r>
      <w:r>
        <w:rPr>
          <w:i/>
        </w:rPr>
        <w:t>µ</w:t>
      </w:r>
      <w:r>
        <w:t xml:space="preserve">g/mL </w:t>
      </w:r>
      <w:r>
        <w:rPr>
          <w:i/>
        </w:rPr>
        <w:t>α</w:t>
      </w:r>
      <w:r>
        <w:t>-amanitin did not cause detectable decreases in photosynthetic efficiency or cell viability relative to untreated controls (Figure 2C), thus excluding increased cell death as a confounding factor in ou</w:t>
      </w:r>
      <w:r>
        <w:t>r analysis.</w:t>
      </w:r>
    </w:p>
    <w:p w:rsidR="00DB17CE" w:rsidRDefault="006265B5">
      <w:pPr>
        <w:spacing w:after="59"/>
        <w:ind w:left="-15" w:firstLine="299"/>
      </w:pPr>
      <w:r>
        <w:t xml:space="preserve">Strikingly, treatment with </w:t>
      </w:r>
      <w:r>
        <w:rPr>
          <w:i/>
        </w:rPr>
        <w:t>α</w:t>
      </w:r>
      <w:r>
        <w:t xml:space="preserve">-amanitin resulted in a progressive, near-complete disappearance of dinoTADs over 48 hours (Figure 2D and F; Supplementary Figures 21–24); the effects of a lower-dose treatment were more modest. Triptolide treatment </w:t>
      </w:r>
      <w:r>
        <w:t xml:space="preserve">did not trigger a disappearance of all topological structures, but nevertheless induced “blurring” of boundaries between dinoTADs (Figure 2E-F; </w:t>
      </w:r>
      <w:r>
        <w:t>Supplementary Figures 25–28); this milder effect, as mentioned above, is possibly the result of XPB protein dive</w:t>
      </w:r>
      <w:r>
        <w:t>rgence (20). The effects of transcriptional inhibition were observed in both technical and biological replicates (Supplementary Figures 21–24), and on aggregate across all dinoTADs (Figure 2F).</w:t>
      </w:r>
    </w:p>
    <w:p w:rsidR="00DB17CE" w:rsidRDefault="006265B5">
      <w:pPr>
        <w:spacing w:after="0"/>
        <w:ind w:left="-15" w:firstLine="299"/>
      </w:pPr>
      <w:r>
        <w:t>Taken together, these observations support transcription-drive</w:t>
      </w:r>
      <w:r>
        <w:t>n supercoiling as the primary mechanism being the formation of dinoTADs. Examination of dinoflagellate gene repertoires corroborates the hypothesis that their genomes contend with elevated torsional stress. We surveyed available transcriptome assemblies fo</w:t>
      </w:r>
      <w:r>
        <w:t>r dinoflagellates and a wide sampling of other unicellular eukaryotes (23) and uncovered a striking expansion of topoisomerase II- and topoisomerase III-like genes (but not topoisomerase</w:t>
      </w:r>
    </w:p>
    <w:p w:rsidR="00DB17CE" w:rsidRDefault="006265B5">
      <w:pPr>
        <w:ind w:left="-5"/>
      </w:pPr>
      <w:r>
        <w:t>I-like genes) within dinoflagellates (Figure 1D; Supplementary Figure</w:t>
      </w:r>
      <w:r>
        <w:t xml:space="preserve"> 17; Supplementary Table 2); topoisomerases are necessary for relieving transcription-induced torsional stress (34).</w:t>
      </w:r>
    </w:p>
    <w:p w:rsidR="00DB17CE" w:rsidRDefault="006265B5">
      <w:pPr>
        <w:ind w:left="-15" w:firstLine="299"/>
      </w:pPr>
      <w:r>
        <w:t xml:space="preserve">We also note that topological insulation within dinoTADs is much stronger than self-interacting domains observed in bacteria or </w:t>
      </w:r>
      <w:r>
        <w:rPr>
          <w:i/>
        </w:rPr>
        <w:t xml:space="preserve">S. pombe </w:t>
      </w:r>
      <w:r>
        <w:t>(S</w:t>
      </w:r>
      <w:r>
        <w:t>upplementary Figures 14) and 15)), and that no such domains are observed in HiC datasets for kinetoplastids, the other well-known lineage of eukaryotes with highly prominent unidirectional polycistronic gene arrays and loss of transcription-level gene regu</w:t>
      </w:r>
      <w:r>
        <w:t>lation (Supplementary Figures 16).</w:t>
      </w:r>
    </w:p>
    <w:p w:rsidR="00DB17CE" w:rsidRDefault="006265B5">
      <w:pPr>
        <w:spacing w:after="59"/>
        <w:ind w:left="-15" w:firstLine="299"/>
      </w:pPr>
      <w:r>
        <w:t>These differences are readily explained as the result of the unusual properties of dinoflagellates and underscore their importance as a unique natural experiment for understanding fundamental topological forces driving ge</w:t>
      </w:r>
      <w:r>
        <w:t>nome folding.</w:t>
      </w:r>
    </w:p>
    <w:p w:rsidR="00DB17CE" w:rsidRDefault="006265B5">
      <w:pPr>
        <w:ind w:left="-15" w:firstLine="299"/>
      </w:pPr>
      <w:r>
        <w:t xml:space="preserve">Neither bacteria nor </w:t>
      </w:r>
      <w:r>
        <w:rPr>
          <w:i/>
        </w:rPr>
        <w:t xml:space="preserve">S. pombe </w:t>
      </w:r>
      <w:r>
        <w:t>possess unidirectional gene arrays of length comparable to that of dinoflagellates; accordingly, the amount of torsional stress that can accumulate along their genomes is reduced. In addition, transcription activ</w:t>
      </w:r>
      <w:r>
        <w:t>ity in those lineages is strongly non-uniform along the length of the genome, unlike the situation in dinoflagellates.</w:t>
      </w:r>
    </w:p>
    <w:p w:rsidR="00DB17CE" w:rsidRDefault="006265B5">
      <w:pPr>
        <w:ind w:left="-15" w:firstLine="299"/>
      </w:pPr>
      <w:r>
        <w:lastRenderedPageBreak/>
        <w:t>The general absence of nucleosomes is the second, and perhaps more important key variable. In mammals, where genes as long as dinoTADs ar</w:t>
      </w:r>
      <w:r>
        <w:t>e quite common (due to the presence of extremely long introns), transcriptiondependent DNA supercoiling is nevertheless not directly apparent as a topological force in Hi-C maps, nor is it seen in kinetoplastids, which lack transcriptional regulation and h</w:t>
      </w:r>
      <w:r>
        <w:t>ave long gene arrays, but have otherwise mostly conventional nucleosomal chromatin. However, as discussed above, the main topological force in most eukaryotes appears to be the interactions between similar chromatin states, while in metazoans loop extrusio</w:t>
      </w:r>
      <w:r>
        <w:t>n domains are also observed (2). But these interactions are not present in dinoflagellates as their genomes are not packaged by nucleosomes. The model emerging is therefore one in which transcription-induced plectonemes are free to form in dinoflagellate g</w:t>
      </w:r>
      <w:r>
        <w:t>enomes but not in other eukaryotes, where nucleosomal chromatin prevents that, and they can also be quite large due to the long length of dinoflagellate gene arrays (Figure 2H).</w:t>
      </w:r>
    </w:p>
    <w:p w:rsidR="00DB17CE" w:rsidRDefault="006265B5">
      <w:pPr>
        <w:spacing w:after="0"/>
        <w:ind w:left="-15" w:firstLine="299"/>
      </w:pPr>
      <w:r>
        <w:t xml:space="preserve">In summary, we have presented the first map of the physical organization of a </w:t>
      </w:r>
      <w:r>
        <w:t>dinoflagellate genome using modern molecular tools and have found unexpected links to the functional organization of the genome. The folding of the dinoflagellate genome in 3D space appears to be primarily dependent on transcription, and more specifically,</w:t>
      </w:r>
      <w:r>
        <w:t xml:space="preserve"> transcription-dependent DNA supercoiling. This model is supported by the co-association of topological domains with pairs of divergent unidirectional gene arrays, the large expansion of topoisomerase genes in dinoflagellate genomes, and, most importantly,</w:t>
      </w:r>
      <w:r>
        <w:t xml:space="preserve"> the disappearance of dinoTADs upon general inhibition of transcription. As the only known eukaryotes that do not use histones to package DNA, dinoflagellates represent a unique evolutionary experiment that reveals aspects of genome biology that are otherw</w:t>
      </w:r>
      <w:r>
        <w:t>ise masked by nucleosomal chromatin and insulation. This natural experiment also highlights the potential magnitude of transcription-induced supercoiling as a general organizing force for genomes given that transcription-induced torsional stress is present</w:t>
      </w:r>
      <w:r>
        <w:t xml:space="preserve"> in all organisms.</w:t>
      </w:r>
    </w:p>
    <w:p w:rsidR="00DB17CE" w:rsidRDefault="006265B5">
      <w:pPr>
        <w:spacing w:after="366"/>
        <w:ind w:left="-15" w:firstLine="299"/>
      </w:pPr>
      <w:r>
        <w:t>Nevertheless, numerous unanswered questions remain. It is not known what roles histone genes play in dinoflagellate genome biology. Although clearly not extensively used, they are expressed by all known dinoflagellates (16). ChIPseq expe</w:t>
      </w:r>
      <w:r>
        <w:t xml:space="preserve">riments using specifically raised antibodies against the divergent </w:t>
      </w:r>
      <w:r>
        <w:rPr>
          <w:i/>
        </w:rPr>
        <w:t xml:space="preserve">B. minutum </w:t>
      </w:r>
      <w:r>
        <w:t>histones will be necessary to study their roles. It is also possible that as-yet unidentified boundary elements of markedly different chromatin state exist at the boundaries of g</w:t>
      </w:r>
      <w:r>
        <w:t>ene arrays. The specific actions and genomic localization of topoisomerases, which are highly copy-number amplified in dinoflagellates, will also be critical for modeling and interpreting our results. Detailed mechanistic investigation of these and other t</w:t>
      </w:r>
      <w:r>
        <w:t xml:space="preserve">opics in dinoflagellates will require the development of robust methods for their genetic manipulation, which remains a </w:t>
      </w:r>
      <w:r>
        <w:t>notoriously difficult problem. On the other hand, the question of what exactly the interplay between nucleosomes, topoisomerases, torsio</w:t>
      </w:r>
      <w:r>
        <w:t>nal stress and genome folding in other eukaryotes is now emerges prominently. Since our Hi-C protocols report the population average across millions of cells, another open question is how local folding states are distributed at the single-cell level, or ac</w:t>
      </w:r>
      <w:r>
        <w:t xml:space="preserve">ross the cell cycle, and how these states relate to transcription. Single-cell genomic and superresolution microscopy techniques are needed to resolve these questions. Finally, when exactly in evolution did this unique physical arrangement appear? As Hi-C </w:t>
      </w:r>
      <w:r>
        <w:t>is becoming a standard tool in the genome assembly toolkit, we expect its application to early branching dinoflagellate lineages and their nearest relatives (such as the perkinsids) to reveal the answers in the not too distant future.</w:t>
      </w:r>
    </w:p>
    <w:p w:rsidR="00DB17CE" w:rsidRDefault="006265B5">
      <w:pPr>
        <w:pStyle w:val="Heading1"/>
        <w:spacing w:after="138"/>
      </w:pPr>
      <w:r>
        <w:t>Author contributions</w:t>
      </w:r>
    </w:p>
    <w:p w:rsidR="00DB17CE" w:rsidRDefault="006265B5">
      <w:pPr>
        <w:spacing w:after="365"/>
        <w:ind w:left="-5"/>
      </w:pPr>
      <w:r>
        <w:t xml:space="preserve">G.K.M. performed Hi-C experiments. G.K.M and A.E.T. analyzed the data. A.E.T. and T.X. carried out transcription inhibition experiments and cell viability experiments. T.X. carried out </w:t>
      </w:r>
      <w:r>
        <w:rPr>
          <w:i/>
        </w:rPr>
        <w:t xml:space="preserve">S. minutum </w:t>
      </w:r>
      <w:r>
        <w:t xml:space="preserve">culture and heat stress treatment. W.J.G., A.R.G.. A.K. and </w:t>
      </w:r>
      <w:r>
        <w:t>J.R.P. supervised the study. G.K.M., A.E.T. and T.X. interpreted data and wrote manuscript with input from all authors.</w:t>
      </w:r>
    </w:p>
    <w:p w:rsidR="00DB17CE" w:rsidRDefault="006265B5">
      <w:pPr>
        <w:pStyle w:val="Heading1"/>
      </w:pPr>
      <w:r>
        <w:t>Acknowledgments</w:t>
      </w:r>
    </w:p>
    <w:tbl>
      <w:tblPr>
        <w:tblStyle w:val="TableGrid"/>
        <w:tblW w:w="5130" w:type="dxa"/>
        <w:tblInd w:w="-5" w:type="dxa"/>
        <w:tblCellMar>
          <w:top w:w="12" w:type="dxa"/>
          <w:left w:w="0" w:type="dxa"/>
          <w:bottom w:w="0" w:type="dxa"/>
          <w:right w:w="0" w:type="dxa"/>
        </w:tblCellMar>
        <w:tblLook w:val="04A0" w:firstRow="1" w:lastRow="0" w:firstColumn="1" w:lastColumn="0" w:noHBand="0" w:noVBand="1"/>
      </w:tblPr>
      <w:tblGrid>
        <w:gridCol w:w="185"/>
        <w:gridCol w:w="122"/>
        <w:gridCol w:w="151"/>
        <w:gridCol w:w="228"/>
        <w:gridCol w:w="308"/>
        <w:gridCol w:w="82"/>
        <w:gridCol w:w="293"/>
        <w:gridCol w:w="103"/>
        <w:gridCol w:w="142"/>
        <w:gridCol w:w="226"/>
        <w:gridCol w:w="72"/>
        <w:gridCol w:w="110"/>
        <w:gridCol w:w="228"/>
        <w:gridCol w:w="86"/>
        <w:gridCol w:w="212"/>
        <w:gridCol w:w="215"/>
        <w:gridCol w:w="155"/>
        <w:gridCol w:w="100"/>
        <w:gridCol w:w="212"/>
        <w:gridCol w:w="199"/>
        <w:gridCol w:w="89"/>
        <w:gridCol w:w="184"/>
        <w:gridCol w:w="257"/>
        <w:gridCol w:w="175"/>
        <w:gridCol w:w="69"/>
        <w:gridCol w:w="145"/>
        <w:gridCol w:w="144"/>
        <w:gridCol w:w="66"/>
        <w:gridCol w:w="329"/>
        <w:gridCol w:w="84"/>
        <w:gridCol w:w="95"/>
        <w:gridCol w:w="153"/>
        <w:gridCol w:w="82"/>
        <w:gridCol w:w="360"/>
      </w:tblGrid>
      <w:tr w:rsidR="00DB17CE">
        <w:trPr>
          <w:trHeight w:val="227"/>
        </w:trPr>
        <w:tc>
          <w:tcPr>
            <w:tcW w:w="487" w:type="dxa"/>
            <w:gridSpan w:val="3"/>
            <w:tcBorders>
              <w:top w:val="nil"/>
              <w:left w:val="nil"/>
              <w:bottom w:val="nil"/>
              <w:right w:val="single" w:sz="36" w:space="0" w:color="FFEF10"/>
            </w:tcBorders>
            <w:shd w:val="clear" w:color="auto" w:fill="FFEF10"/>
          </w:tcPr>
          <w:p w:rsidR="00DB17CE" w:rsidRDefault="006265B5">
            <w:pPr>
              <w:spacing w:after="0" w:line="259" w:lineRule="auto"/>
              <w:ind w:left="5" w:firstLine="0"/>
            </w:pPr>
            <w:r>
              <w:t>This</w:t>
            </w:r>
          </w:p>
        </w:tc>
        <w:tc>
          <w:tcPr>
            <w:tcW w:w="463" w:type="dxa"/>
            <w:gridSpan w:val="2"/>
            <w:tcBorders>
              <w:top w:val="nil"/>
              <w:left w:val="single" w:sz="36" w:space="0" w:color="FFEF10"/>
              <w:bottom w:val="nil"/>
              <w:right w:val="single" w:sz="36" w:space="0" w:color="FFEF10"/>
            </w:tcBorders>
            <w:shd w:val="clear" w:color="auto" w:fill="FFEF10"/>
          </w:tcPr>
          <w:p w:rsidR="00DB17CE" w:rsidRDefault="006265B5">
            <w:pPr>
              <w:spacing w:after="0" w:line="259" w:lineRule="auto"/>
              <w:ind w:left="-3" w:firstLine="0"/>
            </w:pPr>
            <w:r>
              <w:t>work</w:t>
            </w:r>
          </w:p>
        </w:tc>
        <w:tc>
          <w:tcPr>
            <w:tcW w:w="437" w:type="dxa"/>
            <w:gridSpan w:val="3"/>
            <w:tcBorders>
              <w:top w:val="nil"/>
              <w:left w:val="single" w:sz="36" w:space="0" w:color="FFEF10"/>
              <w:bottom w:val="nil"/>
              <w:right w:val="single" w:sz="36" w:space="0" w:color="FFEF10"/>
            </w:tcBorders>
            <w:shd w:val="clear" w:color="auto" w:fill="FFEF10"/>
          </w:tcPr>
          <w:p w:rsidR="00DB17CE" w:rsidRDefault="006265B5">
            <w:pPr>
              <w:spacing w:after="0" w:line="259" w:lineRule="auto"/>
              <w:ind w:left="45" w:firstLine="0"/>
            </w:pPr>
            <w:r>
              <w:t>was</w:t>
            </w:r>
          </w:p>
        </w:tc>
        <w:tc>
          <w:tcPr>
            <w:tcW w:w="265" w:type="dxa"/>
            <w:gridSpan w:val="2"/>
            <w:tcBorders>
              <w:top w:val="nil"/>
              <w:left w:val="single" w:sz="36" w:space="0" w:color="FFEF10"/>
              <w:bottom w:val="nil"/>
              <w:right w:val="nil"/>
            </w:tcBorders>
            <w:shd w:val="clear" w:color="auto" w:fill="FFEF10"/>
          </w:tcPr>
          <w:p w:rsidR="00DB17CE" w:rsidRDefault="006265B5">
            <w:pPr>
              <w:spacing w:after="0" w:line="259" w:lineRule="auto"/>
              <w:ind w:left="15" w:right="-50" w:firstLine="0"/>
            </w:pPr>
            <w:r>
              <w:t>sup</w:t>
            </w:r>
          </w:p>
        </w:tc>
        <w:tc>
          <w:tcPr>
            <w:tcW w:w="666" w:type="dxa"/>
            <w:gridSpan w:val="5"/>
            <w:tcBorders>
              <w:top w:val="nil"/>
              <w:left w:val="nil"/>
              <w:bottom w:val="nil"/>
              <w:right w:val="single" w:sz="36" w:space="0" w:color="FFEF10"/>
            </w:tcBorders>
            <w:shd w:val="clear" w:color="auto" w:fill="FFEF10"/>
          </w:tcPr>
          <w:p w:rsidR="00DB17CE" w:rsidRDefault="006265B5">
            <w:pPr>
              <w:spacing w:after="0" w:line="259" w:lineRule="auto"/>
              <w:ind w:left="50" w:firstLine="0"/>
            </w:pPr>
            <w:r>
              <w:t>ported</w:t>
            </w:r>
          </w:p>
        </w:tc>
        <w:tc>
          <w:tcPr>
            <w:tcW w:w="301" w:type="dxa"/>
            <w:gridSpan w:val="2"/>
            <w:tcBorders>
              <w:top w:val="nil"/>
              <w:left w:val="single" w:sz="36" w:space="0" w:color="FFEF10"/>
              <w:bottom w:val="nil"/>
              <w:right w:val="single" w:sz="36" w:space="0" w:color="FFEF10"/>
            </w:tcBorders>
            <w:shd w:val="clear" w:color="auto" w:fill="FFEF10"/>
          </w:tcPr>
          <w:p w:rsidR="00DB17CE" w:rsidRDefault="006265B5">
            <w:pPr>
              <w:spacing w:after="0" w:line="259" w:lineRule="auto"/>
              <w:ind w:left="45" w:firstLine="0"/>
            </w:pPr>
            <w:r>
              <w:t>by</w:t>
            </w:r>
          </w:p>
        </w:tc>
        <w:tc>
          <w:tcPr>
            <w:tcW w:w="432" w:type="dxa"/>
            <w:gridSpan w:val="3"/>
            <w:tcBorders>
              <w:top w:val="nil"/>
              <w:left w:val="single" w:sz="36" w:space="0" w:color="FFEF10"/>
              <w:bottom w:val="nil"/>
              <w:right w:val="single" w:sz="36" w:space="0" w:color="FFEF10"/>
            </w:tcBorders>
            <w:shd w:val="clear" w:color="auto" w:fill="FFEF10"/>
          </w:tcPr>
          <w:p w:rsidR="00DB17CE" w:rsidRDefault="006265B5">
            <w:pPr>
              <w:spacing w:after="0" w:line="259" w:lineRule="auto"/>
              <w:ind w:left="45" w:firstLine="0"/>
            </w:pPr>
            <w:r>
              <w:t>NIH</w:t>
            </w:r>
          </w:p>
        </w:tc>
        <w:tc>
          <w:tcPr>
            <w:tcW w:w="94" w:type="dxa"/>
            <w:tcBorders>
              <w:top w:val="nil"/>
              <w:left w:val="single" w:sz="36" w:space="0" w:color="FFEF10"/>
              <w:bottom w:val="nil"/>
              <w:right w:val="nil"/>
            </w:tcBorders>
          </w:tcPr>
          <w:p w:rsidR="00DB17CE" w:rsidRDefault="00DB17CE">
            <w:pPr>
              <w:spacing w:after="160" w:line="259" w:lineRule="auto"/>
              <w:ind w:left="0" w:firstLine="0"/>
              <w:jc w:val="left"/>
            </w:pPr>
          </w:p>
        </w:tc>
        <w:tc>
          <w:tcPr>
            <w:tcW w:w="574" w:type="dxa"/>
            <w:gridSpan w:val="3"/>
            <w:tcBorders>
              <w:top w:val="nil"/>
              <w:left w:val="nil"/>
              <w:bottom w:val="nil"/>
              <w:right w:val="single" w:sz="36" w:space="0" w:color="FFEF10"/>
            </w:tcBorders>
            <w:shd w:val="clear" w:color="auto" w:fill="FFEF10"/>
          </w:tcPr>
          <w:p w:rsidR="00DB17CE" w:rsidRDefault="006265B5">
            <w:pPr>
              <w:spacing w:after="0" w:line="259" w:lineRule="auto"/>
              <w:ind w:left="-20" w:firstLine="0"/>
            </w:pPr>
            <w:r>
              <w:t>grants</w:t>
            </w:r>
          </w:p>
        </w:tc>
        <w:tc>
          <w:tcPr>
            <w:tcW w:w="1412" w:type="dxa"/>
            <w:gridSpan w:val="10"/>
            <w:tcBorders>
              <w:top w:val="nil"/>
              <w:left w:val="single" w:sz="36" w:space="0" w:color="FFEF10"/>
              <w:bottom w:val="nil"/>
              <w:right w:val="nil"/>
            </w:tcBorders>
            <w:shd w:val="clear" w:color="auto" w:fill="FFEF10"/>
          </w:tcPr>
          <w:p w:rsidR="00DB17CE" w:rsidRDefault="006265B5">
            <w:pPr>
              <w:spacing w:after="0" w:line="259" w:lineRule="auto"/>
              <w:ind w:left="36" w:firstLine="0"/>
            </w:pPr>
            <w:r>
              <w:t>(P50HG007735,</w:t>
            </w:r>
          </w:p>
        </w:tc>
      </w:tr>
      <w:tr w:rsidR="00DB17CE">
        <w:trPr>
          <w:trHeight w:val="239"/>
        </w:trPr>
        <w:tc>
          <w:tcPr>
            <w:tcW w:w="487" w:type="dxa"/>
            <w:gridSpan w:val="3"/>
            <w:tcBorders>
              <w:top w:val="nil"/>
              <w:left w:val="nil"/>
              <w:bottom w:val="nil"/>
              <w:right w:val="nil"/>
            </w:tcBorders>
            <w:shd w:val="clear" w:color="auto" w:fill="FFEF10"/>
          </w:tcPr>
          <w:p w:rsidR="00DB17CE" w:rsidRDefault="006265B5">
            <w:pPr>
              <w:spacing w:after="0" w:line="259" w:lineRule="auto"/>
              <w:ind w:left="5" w:firstLine="0"/>
            </w:pPr>
            <w:r>
              <w:t>RO1</w:t>
            </w:r>
          </w:p>
        </w:tc>
        <w:tc>
          <w:tcPr>
            <w:tcW w:w="196" w:type="dxa"/>
            <w:tcBorders>
              <w:top w:val="nil"/>
              <w:left w:val="nil"/>
              <w:bottom w:val="nil"/>
              <w:right w:val="nil"/>
            </w:tcBorders>
            <w:shd w:val="clear" w:color="auto" w:fill="FFEF10"/>
          </w:tcPr>
          <w:p w:rsidR="00DB17CE" w:rsidRDefault="00DB17CE">
            <w:pPr>
              <w:spacing w:after="160" w:line="259" w:lineRule="auto"/>
              <w:ind w:left="0" w:firstLine="0"/>
              <w:jc w:val="left"/>
            </w:pPr>
          </w:p>
        </w:tc>
        <w:tc>
          <w:tcPr>
            <w:tcW w:w="970" w:type="dxa"/>
            <w:gridSpan w:val="6"/>
            <w:tcBorders>
              <w:top w:val="nil"/>
              <w:left w:val="nil"/>
              <w:bottom w:val="nil"/>
              <w:right w:val="nil"/>
            </w:tcBorders>
            <w:shd w:val="clear" w:color="auto" w:fill="FFEF10"/>
          </w:tcPr>
          <w:p w:rsidR="00DB17CE" w:rsidRDefault="006265B5">
            <w:pPr>
              <w:spacing w:after="0" w:line="259" w:lineRule="auto"/>
              <w:ind w:left="-47" w:firstLine="0"/>
            </w:pPr>
            <w:r>
              <w:t>HG008140,</w:t>
            </w:r>
          </w:p>
        </w:tc>
        <w:tc>
          <w:tcPr>
            <w:tcW w:w="176" w:type="dxa"/>
            <w:gridSpan w:val="2"/>
            <w:tcBorders>
              <w:top w:val="nil"/>
              <w:left w:val="nil"/>
              <w:bottom w:val="nil"/>
              <w:right w:val="nil"/>
            </w:tcBorders>
            <w:shd w:val="clear" w:color="auto" w:fill="FFEF10"/>
            <w:vAlign w:val="bottom"/>
          </w:tcPr>
          <w:p w:rsidR="00DB17CE" w:rsidRDefault="00DB17CE">
            <w:pPr>
              <w:spacing w:after="160" w:line="259" w:lineRule="auto"/>
              <w:ind w:left="0" w:firstLine="0"/>
              <w:jc w:val="left"/>
            </w:pPr>
          </w:p>
        </w:tc>
        <w:tc>
          <w:tcPr>
            <w:tcW w:w="1081" w:type="dxa"/>
            <w:gridSpan w:val="7"/>
            <w:tcBorders>
              <w:top w:val="nil"/>
              <w:left w:val="nil"/>
              <w:bottom w:val="nil"/>
              <w:right w:val="nil"/>
            </w:tcBorders>
            <w:shd w:val="clear" w:color="auto" w:fill="FFEF10"/>
          </w:tcPr>
          <w:p w:rsidR="00DB17CE" w:rsidRDefault="006265B5">
            <w:pPr>
              <w:spacing w:after="0" w:line="259" w:lineRule="auto"/>
              <w:ind w:left="3" w:right="-89" w:firstLine="0"/>
            </w:pPr>
            <w:r>
              <w:t>U19AI057266</w:t>
            </w:r>
          </w:p>
        </w:tc>
        <w:tc>
          <w:tcPr>
            <w:tcW w:w="141" w:type="dxa"/>
            <w:tcBorders>
              <w:top w:val="nil"/>
              <w:left w:val="nil"/>
              <w:bottom w:val="nil"/>
              <w:right w:val="nil"/>
            </w:tcBorders>
            <w:shd w:val="clear" w:color="auto" w:fill="FFEF10"/>
          </w:tcPr>
          <w:p w:rsidR="00DB17CE" w:rsidRDefault="00DB17CE">
            <w:pPr>
              <w:spacing w:after="160" w:line="259" w:lineRule="auto"/>
              <w:ind w:left="0" w:firstLine="0"/>
              <w:jc w:val="left"/>
            </w:pPr>
          </w:p>
        </w:tc>
        <w:tc>
          <w:tcPr>
            <w:tcW w:w="268" w:type="dxa"/>
            <w:gridSpan w:val="2"/>
            <w:tcBorders>
              <w:top w:val="nil"/>
              <w:left w:val="nil"/>
              <w:bottom w:val="nil"/>
              <w:right w:val="nil"/>
            </w:tcBorders>
            <w:shd w:val="clear" w:color="auto" w:fill="FFEF10"/>
          </w:tcPr>
          <w:p w:rsidR="00DB17CE" w:rsidRDefault="00DB17CE">
            <w:pPr>
              <w:spacing w:after="160" w:line="259" w:lineRule="auto"/>
              <w:ind w:left="0" w:firstLine="0"/>
              <w:jc w:val="left"/>
            </w:pPr>
          </w:p>
        </w:tc>
        <w:tc>
          <w:tcPr>
            <w:tcW w:w="232" w:type="dxa"/>
            <w:tcBorders>
              <w:top w:val="nil"/>
              <w:left w:val="nil"/>
              <w:bottom w:val="nil"/>
              <w:right w:val="nil"/>
            </w:tcBorders>
            <w:shd w:val="clear" w:color="auto" w:fill="FFEF10"/>
          </w:tcPr>
          <w:p w:rsidR="00DB17CE" w:rsidRDefault="006265B5">
            <w:pPr>
              <w:spacing w:after="0" w:line="259" w:lineRule="auto"/>
              <w:ind w:left="-85" w:right="-3" w:firstLine="0"/>
            </w:pPr>
            <w:r>
              <w:t>and</w:t>
            </w:r>
          </w:p>
        </w:tc>
        <w:tc>
          <w:tcPr>
            <w:tcW w:w="234" w:type="dxa"/>
            <w:gridSpan w:val="2"/>
            <w:tcBorders>
              <w:top w:val="nil"/>
              <w:left w:val="nil"/>
              <w:bottom w:val="nil"/>
              <w:right w:val="nil"/>
            </w:tcBorders>
            <w:shd w:val="clear" w:color="auto" w:fill="FFEF10"/>
          </w:tcPr>
          <w:p w:rsidR="00DB17CE" w:rsidRDefault="00DB17CE">
            <w:pPr>
              <w:spacing w:after="160" w:line="259" w:lineRule="auto"/>
              <w:ind w:left="0" w:firstLine="0"/>
              <w:jc w:val="left"/>
            </w:pPr>
          </w:p>
        </w:tc>
        <w:tc>
          <w:tcPr>
            <w:tcW w:w="1345" w:type="dxa"/>
            <w:gridSpan w:val="9"/>
            <w:tcBorders>
              <w:top w:val="nil"/>
              <w:left w:val="nil"/>
              <w:bottom w:val="nil"/>
              <w:right w:val="nil"/>
            </w:tcBorders>
            <w:shd w:val="clear" w:color="auto" w:fill="FFEF10"/>
          </w:tcPr>
          <w:p w:rsidR="00DB17CE" w:rsidRDefault="006265B5">
            <w:pPr>
              <w:spacing w:after="0" w:line="259" w:lineRule="auto"/>
              <w:ind w:left="5" w:firstLine="0"/>
            </w:pPr>
            <w:r>
              <w:t>UM1HG009442</w:t>
            </w:r>
          </w:p>
        </w:tc>
      </w:tr>
      <w:tr w:rsidR="00DB17CE">
        <w:trPr>
          <w:trHeight w:val="239"/>
        </w:trPr>
        <w:tc>
          <w:tcPr>
            <w:tcW w:w="185" w:type="dxa"/>
            <w:tcBorders>
              <w:top w:val="nil"/>
              <w:left w:val="nil"/>
              <w:bottom w:val="nil"/>
              <w:right w:val="nil"/>
            </w:tcBorders>
            <w:shd w:val="clear" w:color="auto" w:fill="FFEF10"/>
          </w:tcPr>
          <w:p w:rsidR="00DB17CE" w:rsidRDefault="006265B5">
            <w:pPr>
              <w:spacing w:after="0" w:line="259" w:lineRule="auto"/>
              <w:ind w:left="5" w:firstLine="0"/>
            </w:pPr>
            <w:r>
              <w:t>to</w:t>
            </w:r>
          </w:p>
        </w:tc>
        <w:tc>
          <w:tcPr>
            <w:tcW w:w="303" w:type="dxa"/>
            <w:gridSpan w:val="2"/>
            <w:tcBorders>
              <w:top w:val="nil"/>
              <w:left w:val="nil"/>
              <w:bottom w:val="nil"/>
              <w:right w:val="nil"/>
            </w:tcBorders>
            <w:shd w:val="clear" w:color="auto" w:fill="FFEF10"/>
          </w:tcPr>
          <w:p w:rsidR="00DB17CE" w:rsidRDefault="00DB17CE">
            <w:pPr>
              <w:spacing w:after="160" w:line="259" w:lineRule="auto"/>
              <w:ind w:left="0" w:firstLine="0"/>
              <w:jc w:val="left"/>
            </w:pPr>
          </w:p>
        </w:tc>
        <w:tc>
          <w:tcPr>
            <w:tcW w:w="565" w:type="dxa"/>
            <w:gridSpan w:val="3"/>
            <w:tcBorders>
              <w:top w:val="nil"/>
              <w:left w:val="nil"/>
              <w:bottom w:val="nil"/>
              <w:right w:val="nil"/>
            </w:tcBorders>
            <w:shd w:val="clear" w:color="auto" w:fill="FFEF10"/>
          </w:tcPr>
          <w:p w:rsidR="00DB17CE" w:rsidRDefault="006265B5">
            <w:pPr>
              <w:spacing w:after="0" w:line="259" w:lineRule="auto"/>
              <w:ind w:left="-101" w:right="-19" w:firstLine="0"/>
              <w:jc w:val="left"/>
            </w:pPr>
            <w:r>
              <w:t>W.J.G.,</w:t>
            </w:r>
          </w:p>
        </w:tc>
        <w:tc>
          <w:tcPr>
            <w:tcW w:w="205" w:type="dxa"/>
            <w:tcBorders>
              <w:top w:val="nil"/>
              <w:left w:val="nil"/>
              <w:bottom w:val="nil"/>
              <w:right w:val="nil"/>
            </w:tcBorders>
            <w:shd w:val="clear" w:color="auto" w:fill="FFEF10"/>
          </w:tcPr>
          <w:p w:rsidR="00DB17CE" w:rsidRDefault="00DB17CE">
            <w:pPr>
              <w:spacing w:after="160" w:line="259" w:lineRule="auto"/>
              <w:ind w:left="0" w:firstLine="0"/>
              <w:jc w:val="left"/>
            </w:pPr>
          </w:p>
        </w:tc>
        <w:tc>
          <w:tcPr>
            <w:tcW w:w="1456" w:type="dxa"/>
            <w:gridSpan w:val="11"/>
            <w:tcBorders>
              <w:top w:val="nil"/>
              <w:left w:val="nil"/>
              <w:bottom w:val="nil"/>
              <w:right w:val="nil"/>
            </w:tcBorders>
            <w:shd w:val="clear" w:color="auto" w:fill="FFEF10"/>
          </w:tcPr>
          <w:p w:rsidR="00DB17CE" w:rsidRDefault="006265B5">
            <w:pPr>
              <w:spacing w:after="0" w:line="259" w:lineRule="auto"/>
              <w:ind w:left="19" w:firstLine="0"/>
            </w:pPr>
            <w:r>
              <w:t>1UM1HG009436</w:t>
            </w:r>
          </w:p>
        </w:tc>
        <w:tc>
          <w:tcPr>
            <w:tcW w:w="196" w:type="dxa"/>
            <w:tcBorders>
              <w:top w:val="nil"/>
              <w:left w:val="nil"/>
              <w:bottom w:val="nil"/>
              <w:right w:val="nil"/>
            </w:tcBorders>
            <w:shd w:val="clear" w:color="auto" w:fill="FFEF10"/>
          </w:tcPr>
          <w:p w:rsidR="00DB17CE" w:rsidRDefault="00DB17CE">
            <w:pPr>
              <w:spacing w:after="160" w:line="259" w:lineRule="auto"/>
              <w:ind w:left="0" w:firstLine="0"/>
              <w:jc w:val="left"/>
            </w:pPr>
          </w:p>
        </w:tc>
        <w:tc>
          <w:tcPr>
            <w:tcW w:w="141" w:type="dxa"/>
            <w:tcBorders>
              <w:top w:val="nil"/>
              <w:left w:val="nil"/>
              <w:bottom w:val="nil"/>
              <w:right w:val="nil"/>
            </w:tcBorders>
            <w:shd w:val="clear" w:color="auto" w:fill="FFEF10"/>
          </w:tcPr>
          <w:p w:rsidR="00DB17CE" w:rsidRDefault="006265B5">
            <w:pPr>
              <w:spacing w:after="0" w:line="259" w:lineRule="auto"/>
              <w:ind w:left="5" w:right="-41" w:firstLine="0"/>
            </w:pPr>
            <w:r>
              <w:t>to</w:t>
            </w:r>
          </w:p>
        </w:tc>
        <w:tc>
          <w:tcPr>
            <w:tcW w:w="268" w:type="dxa"/>
            <w:gridSpan w:val="2"/>
            <w:tcBorders>
              <w:top w:val="nil"/>
              <w:left w:val="nil"/>
              <w:bottom w:val="nil"/>
              <w:right w:val="nil"/>
            </w:tcBorders>
            <w:shd w:val="clear" w:color="auto" w:fill="FFEF10"/>
          </w:tcPr>
          <w:p w:rsidR="00DB17CE" w:rsidRDefault="00DB17CE">
            <w:pPr>
              <w:spacing w:after="160" w:line="259" w:lineRule="auto"/>
              <w:ind w:left="0" w:firstLine="0"/>
              <w:jc w:val="left"/>
            </w:pPr>
          </w:p>
        </w:tc>
        <w:tc>
          <w:tcPr>
            <w:tcW w:w="609" w:type="dxa"/>
            <w:gridSpan w:val="4"/>
            <w:tcBorders>
              <w:top w:val="nil"/>
              <w:left w:val="nil"/>
              <w:bottom w:val="nil"/>
              <w:right w:val="nil"/>
            </w:tcBorders>
            <w:shd w:val="clear" w:color="auto" w:fill="FFEF10"/>
          </w:tcPr>
          <w:p w:rsidR="00DB17CE" w:rsidRDefault="006265B5">
            <w:pPr>
              <w:spacing w:after="0" w:line="259" w:lineRule="auto"/>
              <w:ind w:left="-23" w:firstLine="0"/>
            </w:pPr>
            <w:r>
              <w:t>W.J.G.</w:t>
            </w:r>
          </w:p>
        </w:tc>
        <w:tc>
          <w:tcPr>
            <w:tcW w:w="139" w:type="dxa"/>
            <w:tcBorders>
              <w:top w:val="nil"/>
              <w:left w:val="nil"/>
              <w:bottom w:val="nil"/>
              <w:right w:val="nil"/>
            </w:tcBorders>
            <w:shd w:val="clear" w:color="auto" w:fill="FFEF10"/>
          </w:tcPr>
          <w:p w:rsidR="00DB17CE" w:rsidRDefault="00DB17CE">
            <w:pPr>
              <w:spacing w:after="160" w:line="259" w:lineRule="auto"/>
              <w:ind w:left="0" w:firstLine="0"/>
              <w:jc w:val="left"/>
            </w:pPr>
          </w:p>
        </w:tc>
        <w:tc>
          <w:tcPr>
            <w:tcW w:w="64" w:type="dxa"/>
            <w:tcBorders>
              <w:top w:val="nil"/>
              <w:left w:val="nil"/>
              <w:bottom w:val="nil"/>
              <w:right w:val="nil"/>
            </w:tcBorders>
            <w:shd w:val="clear" w:color="auto" w:fill="FFEF10"/>
          </w:tcPr>
          <w:p w:rsidR="00DB17CE" w:rsidRDefault="00DB17CE">
            <w:pPr>
              <w:spacing w:after="160" w:line="259" w:lineRule="auto"/>
              <w:ind w:left="0" w:firstLine="0"/>
              <w:jc w:val="left"/>
            </w:pPr>
          </w:p>
        </w:tc>
        <w:tc>
          <w:tcPr>
            <w:tcW w:w="274" w:type="dxa"/>
            <w:tcBorders>
              <w:top w:val="nil"/>
              <w:left w:val="nil"/>
              <w:bottom w:val="nil"/>
              <w:right w:val="nil"/>
            </w:tcBorders>
            <w:shd w:val="clear" w:color="auto" w:fill="FFEF10"/>
          </w:tcPr>
          <w:p w:rsidR="00DB17CE" w:rsidRDefault="006265B5">
            <w:pPr>
              <w:spacing w:after="0" w:line="259" w:lineRule="auto"/>
              <w:ind w:left="-1" w:right="-46" w:firstLine="0"/>
            </w:pPr>
            <w:r>
              <w:t>and</w:t>
            </w:r>
          </w:p>
        </w:tc>
        <w:tc>
          <w:tcPr>
            <w:tcW w:w="297" w:type="dxa"/>
            <w:gridSpan w:val="3"/>
            <w:tcBorders>
              <w:top w:val="nil"/>
              <w:left w:val="nil"/>
              <w:bottom w:val="nil"/>
              <w:right w:val="nil"/>
            </w:tcBorders>
            <w:shd w:val="clear" w:color="auto" w:fill="FFEF10"/>
          </w:tcPr>
          <w:p w:rsidR="00DB17CE" w:rsidRDefault="00DB17CE">
            <w:pPr>
              <w:spacing w:after="160" w:line="259" w:lineRule="auto"/>
              <w:ind w:left="0" w:firstLine="0"/>
              <w:jc w:val="left"/>
            </w:pPr>
          </w:p>
        </w:tc>
        <w:tc>
          <w:tcPr>
            <w:tcW w:w="428" w:type="dxa"/>
            <w:gridSpan w:val="2"/>
            <w:tcBorders>
              <w:top w:val="nil"/>
              <w:left w:val="nil"/>
              <w:bottom w:val="nil"/>
              <w:right w:val="nil"/>
            </w:tcBorders>
            <w:shd w:val="clear" w:color="auto" w:fill="FFEF10"/>
          </w:tcPr>
          <w:p w:rsidR="00DB17CE" w:rsidRDefault="006265B5">
            <w:pPr>
              <w:spacing w:after="0" w:line="259" w:lineRule="auto"/>
              <w:ind w:left="-47" w:firstLine="0"/>
            </w:pPr>
            <w:r>
              <w:t>A.K.,</w:t>
            </w:r>
          </w:p>
        </w:tc>
      </w:tr>
      <w:tr w:rsidR="00DB17CE">
        <w:trPr>
          <w:trHeight w:val="239"/>
        </w:trPr>
        <w:tc>
          <w:tcPr>
            <w:tcW w:w="1388" w:type="dxa"/>
            <w:gridSpan w:val="8"/>
            <w:tcBorders>
              <w:top w:val="nil"/>
              <w:left w:val="nil"/>
              <w:bottom w:val="nil"/>
              <w:right w:val="nil"/>
            </w:tcBorders>
            <w:shd w:val="clear" w:color="auto" w:fill="FFEF10"/>
          </w:tcPr>
          <w:p w:rsidR="00DB17CE" w:rsidRDefault="006265B5">
            <w:pPr>
              <w:spacing w:after="0" w:line="259" w:lineRule="auto"/>
              <w:ind w:left="5" w:right="-9" w:firstLine="0"/>
            </w:pPr>
            <w:r>
              <w:t>1DP2OD022870</w:t>
            </w:r>
          </w:p>
        </w:tc>
        <w:tc>
          <w:tcPr>
            <w:tcW w:w="265" w:type="dxa"/>
            <w:gridSpan w:val="2"/>
            <w:tcBorders>
              <w:top w:val="nil"/>
              <w:left w:val="nil"/>
              <w:bottom w:val="nil"/>
              <w:right w:val="nil"/>
            </w:tcBorders>
            <w:shd w:val="clear" w:color="auto" w:fill="FFEF10"/>
          </w:tcPr>
          <w:p w:rsidR="00DB17CE" w:rsidRDefault="006265B5">
            <w:pPr>
              <w:spacing w:after="0" w:line="259" w:lineRule="auto"/>
              <w:ind w:left="9" w:right="-10" w:firstLine="0"/>
            </w:pPr>
            <w:r>
              <w:t>-01</w:t>
            </w:r>
          </w:p>
        </w:tc>
        <w:tc>
          <w:tcPr>
            <w:tcW w:w="68" w:type="dxa"/>
            <w:vMerge w:val="restart"/>
            <w:tcBorders>
              <w:top w:val="nil"/>
              <w:left w:val="nil"/>
              <w:bottom w:val="nil"/>
              <w:right w:val="nil"/>
            </w:tcBorders>
          </w:tcPr>
          <w:p w:rsidR="00DB17CE" w:rsidRDefault="00DB17CE">
            <w:pPr>
              <w:spacing w:after="160" w:line="259" w:lineRule="auto"/>
              <w:ind w:left="0" w:firstLine="0"/>
              <w:jc w:val="left"/>
            </w:pPr>
          </w:p>
        </w:tc>
        <w:tc>
          <w:tcPr>
            <w:tcW w:w="322" w:type="dxa"/>
            <w:gridSpan w:val="2"/>
            <w:tcBorders>
              <w:top w:val="nil"/>
              <w:left w:val="nil"/>
              <w:bottom w:val="nil"/>
              <w:right w:val="nil"/>
            </w:tcBorders>
            <w:shd w:val="clear" w:color="auto" w:fill="FFEF10"/>
          </w:tcPr>
          <w:p w:rsidR="00DB17CE" w:rsidRDefault="006265B5">
            <w:pPr>
              <w:spacing w:after="0" w:line="259" w:lineRule="auto"/>
              <w:ind w:left="11" w:right="-10" w:firstLine="0"/>
            </w:pPr>
            <w:r>
              <w:t>and</w:t>
            </w:r>
          </w:p>
        </w:tc>
        <w:tc>
          <w:tcPr>
            <w:tcW w:w="77" w:type="dxa"/>
            <w:vMerge w:val="restart"/>
            <w:tcBorders>
              <w:top w:val="nil"/>
              <w:left w:val="nil"/>
              <w:bottom w:val="nil"/>
              <w:right w:val="nil"/>
            </w:tcBorders>
            <w:vAlign w:val="bottom"/>
          </w:tcPr>
          <w:p w:rsidR="00DB17CE" w:rsidRDefault="00DB17CE">
            <w:pPr>
              <w:spacing w:after="160" w:line="259" w:lineRule="auto"/>
              <w:ind w:left="0" w:firstLine="0"/>
              <w:jc w:val="left"/>
            </w:pPr>
          </w:p>
        </w:tc>
        <w:tc>
          <w:tcPr>
            <w:tcW w:w="1432" w:type="dxa"/>
            <w:gridSpan w:val="9"/>
            <w:tcBorders>
              <w:top w:val="nil"/>
              <w:left w:val="nil"/>
              <w:bottom w:val="nil"/>
              <w:right w:val="nil"/>
            </w:tcBorders>
            <w:shd w:val="clear" w:color="auto" w:fill="FFEF10"/>
          </w:tcPr>
          <w:p w:rsidR="00DB17CE" w:rsidRDefault="006265B5">
            <w:pPr>
              <w:spacing w:after="0" w:line="259" w:lineRule="auto"/>
              <w:ind w:left="1" w:firstLine="0"/>
            </w:pPr>
            <w:r>
              <w:t>1U01HG009431</w:t>
            </w:r>
          </w:p>
        </w:tc>
        <w:tc>
          <w:tcPr>
            <w:tcW w:w="167" w:type="dxa"/>
            <w:tcBorders>
              <w:top w:val="nil"/>
              <w:left w:val="nil"/>
              <w:bottom w:val="nil"/>
              <w:right w:val="nil"/>
            </w:tcBorders>
            <w:shd w:val="clear" w:color="auto" w:fill="FFEF10"/>
          </w:tcPr>
          <w:p w:rsidR="00DB17CE" w:rsidRDefault="006265B5">
            <w:pPr>
              <w:spacing w:after="0" w:line="259" w:lineRule="auto"/>
              <w:ind w:left="-11" w:firstLine="0"/>
            </w:pPr>
            <w:r>
              <w:t>to</w:t>
            </w:r>
          </w:p>
        </w:tc>
        <w:tc>
          <w:tcPr>
            <w:tcW w:w="67" w:type="dxa"/>
            <w:tcBorders>
              <w:top w:val="nil"/>
              <w:left w:val="nil"/>
              <w:bottom w:val="nil"/>
              <w:right w:val="nil"/>
            </w:tcBorders>
          </w:tcPr>
          <w:p w:rsidR="00DB17CE" w:rsidRDefault="00DB17CE">
            <w:pPr>
              <w:spacing w:after="160" w:line="259" w:lineRule="auto"/>
              <w:ind w:left="0" w:firstLine="0"/>
              <w:jc w:val="left"/>
            </w:pPr>
          </w:p>
        </w:tc>
        <w:tc>
          <w:tcPr>
            <w:tcW w:w="620" w:type="dxa"/>
            <w:gridSpan w:val="4"/>
            <w:tcBorders>
              <w:top w:val="nil"/>
              <w:left w:val="nil"/>
              <w:bottom w:val="nil"/>
              <w:right w:val="nil"/>
            </w:tcBorders>
            <w:shd w:val="clear" w:color="auto" w:fill="FFEF10"/>
          </w:tcPr>
          <w:p w:rsidR="00DB17CE" w:rsidRDefault="006265B5">
            <w:pPr>
              <w:spacing w:after="0" w:line="259" w:lineRule="auto"/>
              <w:ind w:left="0" w:firstLine="0"/>
            </w:pPr>
            <w:r>
              <w:t>A.K.),</w:t>
            </w:r>
          </w:p>
        </w:tc>
        <w:tc>
          <w:tcPr>
            <w:tcW w:w="297" w:type="dxa"/>
            <w:gridSpan w:val="3"/>
            <w:tcBorders>
              <w:top w:val="nil"/>
              <w:left w:val="nil"/>
              <w:bottom w:val="nil"/>
              <w:right w:val="nil"/>
            </w:tcBorders>
            <w:shd w:val="clear" w:color="auto" w:fill="FFEF10"/>
          </w:tcPr>
          <w:p w:rsidR="00DB17CE" w:rsidRDefault="006265B5">
            <w:pPr>
              <w:spacing w:after="0" w:line="259" w:lineRule="auto"/>
              <w:ind w:left="-4" w:firstLine="0"/>
            </w:pPr>
            <w:r>
              <w:t>the</w:t>
            </w:r>
          </w:p>
        </w:tc>
        <w:tc>
          <w:tcPr>
            <w:tcW w:w="428" w:type="dxa"/>
            <w:gridSpan w:val="2"/>
            <w:tcBorders>
              <w:top w:val="nil"/>
              <w:left w:val="nil"/>
              <w:bottom w:val="nil"/>
              <w:right w:val="nil"/>
            </w:tcBorders>
            <w:shd w:val="clear" w:color="auto" w:fill="FFEF10"/>
          </w:tcPr>
          <w:p w:rsidR="00DB17CE" w:rsidRDefault="006265B5">
            <w:pPr>
              <w:spacing w:after="0" w:line="259" w:lineRule="auto"/>
              <w:ind w:left="44" w:firstLine="0"/>
            </w:pPr>
            <w:r>
              <w:t>Rita</w:t>
            </w:r>
          </w:p>
        </w:tc>
      </w:tr>
      <w:tr w:rsidR="00DB17CE">
        <w:trPr>
          <w:trHeight w:val="239"/>
        </w:trPr>
        <w:tc>
          <w:tcPr>
            <w:tcW w:w="487" w:type="dxa"/>
            <w:gridSpan w:val="3"/>
            <w:tcBorders>
              <w:top w:val="nil"/>
              <w:left w:val="nil"/>
              <w:bottom w:val="nil"/>
              <w:right w:val="nil"/>
            </w:tcBorders>
            <w:shd w:val="clear" w:color="auto" w:fill="FFEF10"/>
          </w:tcPr>
          <w:p w:rsidR="00DB17CE" w:rsidRDefault="006265B5">
            <w:pPr>
              <w:spacing w:after="0" w:line="259" w:lineRule="auto"/>
              <w:ind w:left="5" w:firstLine="0"/>
            </w:pPr>
            <w:r>
              <w:t>Allen</w:t>
            </w:r>
          </w:p>
        </w:tc>
        <w:tc>
          <w:tcPr>
            <w:tcW w:w="565" w:type="dxa"/>
            <w:gridSpan w:val="3"/>
            <w:tcBorders>
              <w:top w:val="nil"/>
              <w:left w:val="nil"/>
              <w:bottom w:val="nil"/>
              <w:right w:val="nil"/>
            </w:tcBorders>
            <w:shd w:val="clear" w:color="auto" w:fill="FFEF10"/>
          </w:tcPr>
          <w:p w:rsidR="00DB17CE" w:rsidRDefault="006265B5">
            <w:pPr>
              <w:spacing w:after="0" w:line="259" w:lineRule="auto"/>
              <w:ind w:left="111" w:firstLine="0"/>
            </w:pPr>
            <w:r>
              <w:t>Foun</w:t>
            </w:r>
          </w:p>
        </w:tc>
        <w:tc>
          <w:tcPr>
            <w:tcW w:w="205" w:type="dxa"/>
            <w:tcBorders>
              <w:top w:val="nil"/>
              <w:left w:val="nil"/>
              <w:bottom w:val="nil"/>
              <w:right w:val="nil"/>
            </w:tcBorders>
            <w:shd w:val="clear" w:color="auto" w:fill="FFEF10"/>
          </w:tcPr>
          <w:p w:rsidR="00DB17CE" w:rsidRDefault="006265B5">
            <w:pPr>
              <w:spacing w:after="0" w:line="259" w:lineRule="auto"/>
              <w:ind w:left="-19" w:firstLine="0"/>
            </w:pPr>
            <w:r>
              <w:t>da</w:t>
            </w:r>
          </w:p>
        </w:tc>
        <w:tc>
          <w:tcPr>
            <w:tcW w:w="396" w:type="dxa"/>
            <w:gridSpan w:val="3"/>
            <w:tcBorders>
              <w:top w:val="nil"/>
              <w:left w:val="nil"/>
              <w:bottom w:val="nil"/>
              <w:right w:val="nil"/>
            </w:tcBorders>
            <w:shd w:val="clear" w:color="auto" w:fill="FFEF10"/>
          </w:tcPr>
          <w:p w:rsidR="00DB17CE" w:rsidRDefault="006265B5">
            <w:pPr>
              <w:spacing w:after="0" w:line="259" w:lineRule="auto"/>
              <w:ind w:left="-14" w:firstLine="0"/>
            </w:pPr>
            <w:r>
              <w:t>tion</w:t>
            </w:r>
          </w:p>
        </w:tc>
        <w:tc>
          <w:tcPr>
            <w:tcW w:w="0" w:type="auto"/>
            <w:vMerge/>
            <w:tcBorders>
              <w:top w:val="nil"/>
              <w:left w:val="nil"/>
              <w:bottom w:val="nil"/>
              <w:right w:val="nil"/>
            </w:tcBorders>
          </w:tcPr>
          <w:p w:rsidR="00DB17CE" w:rsidRDefault="00DB17CE">
            <w:pPr>
              <w:spacing w:after="160" w:line="259" w:lineRule="auto"/>
              <w:ind w:left="0" w:firstLine="0"/>
              <w:jc w:val="left"/>
            </w:pPr>
          </w:p>
        </w:tc>
        <w:tc>
          <w:tcPr>
            <w:tcW w:w="322" w:type="dxa"/>
            <w:gridSpan w:val="2"/>
            <w:tcBorders>
              <w:top w:val="nil"/>
              <w:left w:val="nil"/>
              <w:bottom w:val="nil"/>
              <w:right w:val="nil"/>
            </w:tcBorders>
            <w:shd w:val="clear" w:color="auto" w:fill="FFEF10"/>
          </w:tcPr>
          <w:p w:rsidR="00DB17CE" w:rsidRDefault="006265B5">
            <w:pPr>
              <w:spacing w:after="0" w:line="259" w:lineRule="auto"/>
              <w:ind w:left="-1" w:firstLine="0"/>
            </w:pPr>
            <w:r>
              <w:t>(to</w:t>
            </w:r>
          </w:p>
        </w:tc>
        <w:tc>
          <w:tcPr>
            <w:tcW w:w="0" w:type="auto"/>
            <w:vMerge/>
            <w:tcBorders>
              <w:top w:val="nil"/>
              <w:left w:val="nil"/>
              <w:bottom w:val="nil"/>
              <w:right w:val="nil"/>
            </w:tcBorders>
          </w:tcPr>
          <w:p w:rsidR="00DB17CE" w:rsidRDefault="00DB17CE">
            <w:pPr>
              <w:spacing w:after="160" w:line="259" w:lineRule="auto"/>
              <w:ind w:left="0" w:firstLine="0"/>
              <w:jc w:val="left"/>
            </w:pPr>
          </w:p>
        </w:tc>
        <w:tc>
          <w:tcPr>
            <w:tcW w:w="790" w:type="dxa"/>
            <w:gridSpan w:val="5"/>
            <w:tcBorders>
              <w:top w:val="nil"/>
              <w:left w:val="nil"/>
              <w:bottom w:val="nil"/>
              <w:right w:val="nil"/>
            </w:tcBorders>
            <w:shd w:val="clear" w:color="auto" w:fill="FFEF10"/>
          </w:tcPr>
          <w:p w:rsidR="00DB17CE" w:rsidRDefault="006265B5">
            <w:pPr>
              <w:spacing w:after="0" w:line="259" w:lineRule="auto"/>
              <w:ind w:left="-11" w:firstLine="0"/>
            </w:pPr>
            <w:r>
              <w:t>W.J.G.),</w:t>
            </w:r>
          </w:p>
        </w:tc>
        <w:tc>
          <w:tcPr>
            <w:tcW w:w="141" w:type="dxa"/>
            <w:tcBorders>
              <w:top w:val="nil"/>
              <w:left w:val="nil"/>
              <w:bottom w:val="nil"/>
              <w:right w:val="nil"/>
            </w:tcBorders>
          </w:tcPr>
          <w:p w:rsidR="00DB17CE" w:rsidRDefault="006265B5">
            <w:pPr>
              <w:spacing w:after="0" w:line="259" w:lineRule="auto"/>
              <w:ind w:left="94" w:right="-30" w:firstLine="0"/>
              <w:jc w:val="left"/>
            </w:pPr>
            <w:r>
              <w:t>t</w:t>
            </w:r>
          </w:p>
        </w:tc>
        <w:tc>
          <w:tcPr>
            <w:tcW w:w="268" w:type="dxa"/>
            <w:gridSpan w:val="2"/>
            <w:tcBorders>
              <w:top w:val="nil"/>
              <w:left w:val="nil"/>
              <w:bottom w:val="nil"/>
              <w:right w:val="nil"/>
            </w:tcBorders>
            <w:shd w:val="clear" w:color="auto" w:fill="FFEF10"/>
          </w:tcPr>
          <w:p w:rsidR="00DB17CE" w:rsidRDefault="006265B5">
            <w:pPr>
              <w:spacing w:after="0" w:line="259" w:lineRule="auto"/>
              <w:ind w:left="30" w:firstLine="0"/>
            </w:pPr>
            <w:r>
              <w:t>he</w:t>
            </w:r>
          </w:p>
        </w:tc>
        <w:tc>
          <w:tcPr>
            <w:tcW w:w="400" w:type="dxa"/>
            <w:gridSpan w:val="2"/>
            <w:tcBorders>
              <w:top w:val="nil"/>
              <w:left w:val="nil"/>
              <w:bottom w:val="nil"/>
              <w:right w:val="nil"/>
            </w:tcBorders>
            <w:shd w:val="clear" w:color="auto" w:fill="FFEF10"/>
          </w:tcPr>
          <w:p w:rsidR="00DB17CE" w:rsidRDefault="006265B5">
            <w:pPr>
              <w:spacing w:after="0" w:line="259" w:lineRule="auto"/>
              <w:ind w:left="95" w:right="-41" w:firstLine="0"/>
            </w:pPr>
            <w:r>
              <w:t>Bax</w:t>
            </w:r>
          </w:p>
        </w:tc>
        <w:tc>
          <w:tcPr>
            <w:tcW w:w="348" w:type="dxa"/>
            <w:gridSpan w:val="3"/>
            <w:tcBorders>
              <w:top w:val="nil"/>
              <w:left w:val="nil"/>
              <w:bottom w:val="nil"/>
              <w:right w:val="nil"/>
            </w:tcBorders>
            <w:shd w:val="clear" w:color="auto" w:fill="FFEF10"/>
          </w:tcPr>
          <w:p w:rsidR="00DB17CE" w:rsidRDefault="006265B5">
            <w:pPr>
              <w:spacing w:after="0" w:line="259" w:lineRule="auto"/>
              <w:ind w:left="41" w:firstLine="0"/>
            </w:pPr>
            <w:r>
              <w:t>ter</w:t>
            </w:r>
          </w:p>
        </w:tc>
        <w:tc>
          <w:tcPr>
            <w:tcW w:w="64" w:type="dxa"/>
            <w:tcBorders>
              <w:top w:val="nil"/>
              <w:left w:val="nil"/>
              <w:bottom w:val="nil"/>
              <w:right w:val="nil"/>
            </w:tcBorders>
          </w:tcPr>
          <w:p w:rsidR="00DB17CE" w:rsidRDefault="00DB17CE">
            <w:pPr>
              <w:spacing w:after="160" w:line="259" w:lineRule="auto"/>
              <w:ind w:left="0" w:firstLine="0"/>
              <w:jc w:val="left"/>
            </w:pPr>
          </w:p>
        </w:tc>
        <w:tc>
          <w:tcPr>
            <w:tcW w:w="441" w:type="dxa"/>
            <w:gridSpan w:val="3"/>
            <w:tcBorders>
              <w:top w:val="nil"/>
              <w:left w:val="nil"/>
              <w:bottom w:val="nil"/>
              <w:right w:val="nil"/>
            </w:tcBorders>
            <w:shd w:val="clear" w:color="auto" w:fill="FFEF10"/>
          </w:tcPr>
          <w:p w:rsidR="00DB17CE" w:rsidRDefault="006265B5">
            <w:pPr>
              <w:spacing w:after="0" w:line="259" w:lineRule="auto"/>
              <w:ind w:left="6" w:firstLine="0"/>
            </w:pPr>
            <w:r>
              <w:t>Foun</w:t>
            </w:r>
          </w:p>
        </w:tc>
        <w:tc>
          <w:tcPr>
            <w:tcW w:w="210" w:type="dxa"/>
            <w:gridSpan w:val="2"/>
            <w:tcBorders>
              <w:top w:val="nil"/>
              <w:left w:val="nil"/>
              <w:bottom w:val="nil"/>
              <w:right w:val="nil"/>
            </w:tcBorders>
            <w:shd w:val="clear" w:color="auto" w:fill="FFEF10"/>
          </w:tcPr>
          <w:p w:rsidR="00DB17CE" w:rsidRDefault="006265B5">
            <w:pPr>
              <w:spacing w:after="0" w:line="259" w:lineRule="auto"/>
              <w:ind w:left="0" w:firstLine="0"/>
            </w:pPr>
            <w:r>
              <w:t>da</w:t>
            </w:r>
          </w:p>
        </w:tc>
        <w:tc>
          <w:tcPr>
            <w:tcW w:w="348" w:type="dxa"/>
            <w:tcBorders>
              <w:top w:val="nil"/>
              <w:left w:val="nil"/>
              <w:bottom w:val="nil"/>
              <w:right w:val="nil"/>
            </w:tcBorders>
            <w:shd w:val="clear" w:color="auto" w:fill="FFEF10"/>
          </w:tcPr>
          <w:p w:rsidR="00DB17CE" w:rsidRDefault="006265B5">
            <w:pPr>
              <w:spacing w:after="0" w:line="259" w:lineRule="auto"/>
              <w:ind w:left="0" w:firstLine="0"/>
            </w:pPr>
            <w:r>
              <w:t>tion</w:t>
            </w:r>
          </w:p>
        </w:tc>
      </w:tr>
      <w:tr w:rsidR="00DB17CE">
        <w:trPr>
          <w:trHeight w:val="227"/>
        </w:trPr>
        <w:tc>
          <w:tcPr>
            <w:tcW w:w="307" w:type="dxa"/>
            <w:gridSpan w:val="2"/>
            <w:tcBorders>
              <w:top w:val="nil"/>
              <w:left w:val="nil"/>
              <w:bottom w:val="nil"/>
              <w:right w:val="nil"/>
            </w:tcBorders>
            <w:shd w:val="clear" w:color="auto" w:fill="FFEF10"/>
          </w:tcPr>
          <w:p w:rsidR="00DB17CE" w:rsidRDefault="006265B5">
            <w:pPr>
              <w:spacing w:after="0" w:line="259" w:lineRule="auto"/>
              <w:ind w:left="5" w:firstLine="0"/>
            </w:pPr>
            <w:r>
              <w:t>Fac</w:t>
            </w:r>
          </w:p>
        </w:tc>
        <w:tc>
          <w:tcPr>
            <w:tcW w:w="376" w:type="dxa"/>
            <w:gridSpan w:val="2"/>
            <w:tcBorders>
              <w:top w:val="nil"/>
              <w:left w:val="nil"/>
              <w:bottom w:val="nil"/>
              <w:right w:val="single" w:sz="36" w:space="0" w:color="FFEF10"/>
            </w:tcBorders>
            <w:shd w:val="clear" w:color="auto" w:fill="FFEF10"/>
          </w:tcPr>
          <w:p w:rsidR="00DB17CE" w:rsidRDefault="006265B5">
            <w:pPr>
              <w:spacing w:after="0" w:line="259" w:lineRule="auto"/>
              <w:ind w:left="0" w:firstLine="0"/>
            </w:pPr>
            <w:r>
              <w:t>ulty</w:t>
            </w:r>
          </w:p>
        </w:tc>
        <w:tc>
          <w:tcPr>
            <w:tcW w:w="705" w:type="dxa"/>
            <w:gridSpan w:val="4"/>
            <w:tcBorders>
              <w:top w:val="nil"/>
              <w:left w:val="single" w:sz="36" w:space="0" w:color="FFEF10"/>
              <w:bottom w:val="nil"/>
              <w:right w:val="single" w:sz="36" w:space="0" w:color="FFEF10"/>
            </w:tcBorders>
            <w:shd w:val="clear" w:color="auto" w:fill="FFEF10"/>
          </w:tcPr>
          <w:p w:rsidR="00DB17CE" w:rsidRDefault="006265B5">
            <w:pPr>
              <w:spacing w:after="0" w:line="259" w:lineRule="auto"/>
              <w:ind w:left="57" w:firstLine="0"/>
            </w:pPr>
            <w:r>
              <w:t>Scholar</w:t>
            </w:r>
          </w:p>
        </w:tc>
        <w:tc>
          <w:tcPr>
            <w:tcW w:w="73" w:type="dxa"/>
            <w:tcBorders>
              <w:top w:val="nil"/>
              <w:left w:val="single" w:sz="36" w:space="0" w:color="FFEF10"/>
              <w:bottom w:val="nil"/>
              <w:right w:val="nil"/>
            </w:tcBorders>
          </w:tcPr>
          <w:p w:rsidR="00DB17CE" w:rsidRDefault="00DB17CE">
            <w:pPr>
              <w:spacing w:after="160" w:line="259" w:lineRule="auto"/>
              <w:ind w:left="0" w:firstLine="0"/>
              <w:jc w:val="left"/>
            </w:pPr>
          </w:p>
        </w:tc>
        <w:tc>
          <w:tcPr>
            <w:tcW w:w="581" w:type="dxa"/>
            <w:gridSpan w:val="4"/>
            <w:tcBorders>
              <w:top w:val="nil"/>
              <w:left w:val="nil"/>
              <w:bottom w:val="nil"/>
              <w:right w:val="single" w:sz="36" w:space="0" w:color="FFEF10"/>
            </w:tcBorders>
            <w:shd w:val="clear" w:color="auto" w:fill="FFEF10"/>
          </w:tcPr>
          <w:p w:rsidR="00DB17CE" w:rsidRDefault="006265B5">
            <w:pPr>
              <w:spacing w:after="0" w:line="259" w:lineRule="auto"/>
              <w:ind w:left="5" w:firstLine="0"/>
            </w:pPr>
            <w:r>
              <w:t>Grant,</w:t>
            </w:r>
          </w:p>
        </w:tc>
        <w:tc>
          <w:tcPr>
            <w:tcW w:w="0" w:type="auto"/>
            <w:vMerge/>
            <w:tcBorders>
              <w:top w:val="nil"/>
              <w:left w:val="nil"/>
              <w:bottom w:val="nil"/>
              <w:right w:val="nil"/>
            </w:tcBorders>
          </w:tcPr>
          <w:p w:rsidR="00DB17CE" w:rsidRDefault="00DB17CE">
            <w:pPr>
              <w:spacing w:after="160" w:line="259" w:lineRule="auto"/>
              <w:ind w:left="0" w:firstLine="0"/>
              <w:jc w:val="left"/>
            </w:pPr>
          </w:p>
        </w:tc>
        <w:tc>
          <w:tcPr>
            <w:tcW w:w="375" w:type="dxa"/>
            <w:gridSpan w:val="2"/>
            <w:tcBorders>
              <w:top w:val="nil"/>
              <w:left w:val="single" w:sz="36" w:space="0" w:color="FFEF10"/>
              <w:bottom w:val="nil"/>
              <w:right w:val="single" w:sz="36" w:space="0" w:color="FFEF10"/>
            </w:tcBorders>
            <w:shd w:val="clear" w:color="auto" w:fill="FFEF10"/>
          </w:tcPr>
          <w:p w:rsidR="00DB17CE" w:rsidRDefault="006265B5">
            <w:pPr>
              <w:spacing w:after="0" w:line="259" w:lineRule="auto"/>
              <w:ind w:left="9" w:firstLine="0"/>
            </w:pPr>
            <w:r>
              <w:t>and</w:t>
            </w:r>
          </w:p>
        </w:tc>
        <w:tc>
          <w:tcPr>
            <w:tcW w:w="416" w:type="dxa"/>
            <w:gridSpan w:val="3"/>
            <w:tcBorders>
              <w:top w:val="nil"/>
              <w:left w:val="single" w:sz="36" w:space="0" w:color="FFEF10"/>
              <w:bottom w:val="nil"/>
              <w:right w:val="single" w:sz="36" w:space="0" w:color="FFEF10"/>
            </w:tcBorders>
            <w:shd w:val="clear" w:color="auto" w:fill="FFEF10"/>
          </w:tcPr>
          <w:p w:rsidR="00DB17CE" w:rsidRDefault="006265B5">
            <w:pPr>
              <w:spacing w:after="0" w:line="259" w:lineRule="auto"/>
              <w:ind w:left="45" w:firstLine="0"/>
              <w:jc w:val="left"/>
            </w:pPr>
            <w:r>
              <w:t>the</w:t>
            </w:r>
          </w:p>
        </w:tc>
        <w:tc>
          <w:tcPr>
            <w:tcW w:w="236" w:type="dxa"/>
            <w:gridSpan w:val="2"/>
            <w:tcBorders>
              <w:top w:val="nil"/>
              <w:left w:val="single" w:sz="36" w:space="0" w:color="FFEF10"/>
              <w:bottom w:val="nil"/>
              <w:right w:val="nil"/>
            </w:tcBorders>
            <w:shd w:val="clear" w:color="auto" w:fill="FFEF10"/>
          </w:tcPr>
          <w:p w:rsidR="00DB17CE" w:rsidRDefault="006265B5">
            <w:pPr>
              <w:spacing w:after="0" w:line="259" w:lineRule="auto"/>
              <w:ind w:left="-5" w:right="-20" w:firstLine="0"/>
            </w:pPr>
            <w:r>
              <w:t>Hu</w:t>
            </w:r>
          </w:p>
        </w:tc>
        <w:tc>
          <w:tcPr>
            <w:tcW w:w="406" w:type="dxa"/>
            <w:gridSpan w:val="2"/>
            <w:tcBorders>
              <w:top w:val="nil"/>
              <w:left w:val="nil"/>
              <w:bottom w:val="nil"/>
              <w:right w:val="single" w:sz="36" w:space="0" w:color="FFEF10"/>
            </w:tcBorders>
            <w:shd w:val="clear" w:color="auto" w:fill="FFEF10"/>
          </w:tcPr>
          <w:p w:rsidR="00DB17CE" w:rsidRDefault="006265B5">
            <w:pPr>
              <w:spacing w:after="0" w:line="259" w:lineRule="auto"/>
              <w:ind w:left="20" w:firstLine="0"/>
            </w:pPr>
            <w:r>
              <w:t>man</w:t>
            </w:r>
          </w:p>
        </w:tc>
        <w:tc>
          <w:tcPr>
            <w:tcW w:w="516" w:type="dxa"/>
            <w:gridSpan w:val="4"/>
            <w:tcBorders>
              <w:top w:val="nil"/>
              <w:left w:val="single" w:sz="36" w:space="0" w:color="FFEF10"/>
              <w:bottom w:val="nil"/>
              <w:right w:val="nil"/>
            </w:tcBorders>
            <w:shd w:val="clear" w:color="auto" w:fill="FFEF10"/>
          </w:tcPr>
          <w:p w:rsidR="00DB17CE" w:rsidRDefault="006265B5">
            <w:pPr>
              <w:spacing w:after="0" w:line="259" w:lineRule="auto"/>
              <w:ind w:left="79" w:firstLine="0"/>
            </w:pPr>
            <w:r>
              <w:t>Fron</w:t>
            </w:r>
          </w:p>
        </w:tc>
        <w:tc>
          <w:tcPr>
            <w:tcW w:w="338" w:type="dxa"/>
            <w:gridSpan w:val="2"/>
            <w:tcBorders>
              <w:top w:val="nil"/>
              <w:left w:val="nil"/>
              <w:bottom w:val="nil"/>
              <w:right w:val="single" w:sz="36" w:space="0" w:color="FFEF10"/>
            </w:tcBorders>
            <w:shd w:val="clear" w:color="auto" w:fill="FFEF10"/>
          </w:tcPr>
          <w:p w:rsidR="00DB17CE" w:rsidRDefault="006265B5">
            <w:pPr>
              <w:spacing w:after="0" w:line="259" w:lineRule="auto"/>
              <w:ind w:left="-40" w:firstLine="0"/>
            </w:pPr>
            <w:r>
              <w:t>tiers</w:t>
            </w:r>
          </w:p>
        </w:tc>
        <w:tc>
          <w:tcPr>
            <w:tcW w:w="84" w:type="dxa"/>
            <w:tcBorders>
              <w:top w:val="nil"/>
              <w:left w:val="single" w:sz="36" w:space="0" w:color="FFEF10"/>
              <w:bottom w:val="nil"/>
              <w:right w:val="nil"/>
            </w:tcBorders>
            <w:vAlign w:val="bottom"/>
          </w:tcPr>
          <w:p w:rsidR="00DB17CE" w:rsidRDefault="00DB17CE">
            <w:pPr>
              <w:spacing w:after="160" w:line="259" w:lineRule="auto"/>
              <w:ind w:left="0" w:firstLine="0"/>
              <w:jc w:val="left"/>
            </w:pPr>
          </w:p>
        </w:tc>
        <w:tc>
          <w:tcPr>
            <w:tcW w:w="213" w:type="dxa"/>
            <w:gridSpan w:val="2"/>
            <w:tcBorders>
              <w:top w:val="nil"/>
              <w:left w:val="nil"/>
              <w:bottom w:val="nil"/>
              <w:right w:val="nil"/>
            </w:tcBorders>
            <w:shd w:val="clear" w:color="auto" w:fill="FFEF10"/>
          </w:tcPr>
          <w:p w:rsidR="00DB17CE" w:rsidRDefault="006265B5">
            <w:pPr>
              <w:spacing w:after="0" w:line="259" w:lineRule="auto"/>
              <w:ind w:left="5" w:right="-47" w:firstLine="0"/>
            </w:pPr>
            <w:r>
              <w:t>Sci</w:t>
            </w:r>
          </w:p>
        </w:tc>
        <w:tc>
          <w:tcPr>
            <w:tcW w:w="428" w:type="dxa"/>
            <w:gridSpan w:val="2"/>
            <w:tcBorders>
              <w:top w:val="nil"/>
              <w:left w:val="nil"/>
              <w:bottom w:val="nil"/>
              <w:right w:val="nil"/>
            </w:tcBorders>
            <w:shd w:val="clear" w:color="auto" w:fill="FFEF10"/>
          </w:tcPr>
          <w:p w:rsidR="00DB17CE" w:rsidRDefault="006265B5">
            <w:pPr>
              <w:spacing w:after="0" w:line="259" w:lineRule="auto"/>
              <w:ind w:left="47" w:firstLine="0"/>
            </w:pPr>
            <w:r>
              <w:t>ence</w:t>
            </w:r>
          </w:p>
        </w:tc>
      </w:tr>
    </w:tbl>
    <w:tbl>
      <w:tblPr>
        <w:tblStyle w:val="TableGrid"/>
        <w:tblpPr w:vertAnchor="text" w:tblpX="-5" w:tblpYSpec="bottom"/>
        <w:tblOverlap w:val="never"/>
        <w:tblW w:w="3451" w:type="dxa"/>
        <w:tblInd w:w="0" w:type="dxa"/>
        <w:tblCellMar>
          <w:top w:w="12" w:type="dxa"/>
          <w:left w:w="0" w:type="dxa"/>
          <w:bottom w:w="0" w:type="dxa"/>
          <w:right w:w="0" w:type="dxa"/>
        </w:tblCellMar>
        <w:tblLook w:val="04A0" w:firstRow="1" w:lastRow="0" w:firstColumn="1" w:lastColumn="0" w:noHBand="0" w:noVBand="1"/>
      </w:tblPr>
      <w:tblGrid>
        <w:gridCol w:w="317"/>
        <w:gridCol w:w="497"/>
        <w:gridCol w:w="612"/>
        <w:gridCol w:w="956"/>
        <w:gridCol w:w="404"/>
        <w:gridCol w:w="665"/>
      </w:tblGrid>
      <w:tr w:rsidR="00DB17CE">
        <w:trPr>
          <w:trHeight w:val="214"/>
        </w:trPr>
        <w:tc>
          <w:tcPr>
            <w:tcW w:w="318" w:type="dxa"/>
            <w:tcBorders>
              <w:top w:val="nil"/>
              <w:left w:val="nil"/>
              <w:bottom w:val="nil"/>
              <w:right w:val="nil"/>
            </w:tcBorders>
            <w:shd w:val="clear" w:color="auto" w:fill="FFEF10"/>
          </w:tcPr>
          <w:p w:rsidR="00DB17CE" w:rsidRDefault="006265B5">
            <w:pPr>
              <w:spacing w:after="0" w:line="259" w:lineRule="auto"/>
              <w:ind w:left="5" w:firstLine="0"/>
            </w:pPr>
            <w:r>
              <w:t>Pro</w:t>
            </w:r>
          </w:p>
        </w:tc>
        <w:tc>
          <w:tcPr>
            <w:tcW w:w="494" w:type="dxa"/>
            <w:tcBorders>
              <w:top w:val="nil"/>
              <w:left w:val="nil"/>
              <w:bottom w:val="nil"/>
              <w:right w:val="single" w:sz="41" w:space="0" w:color="FFEF10"/>
            </w:tcBorders>
            <w:shd w:val="clear" w:color="auto" w:fill="FFEF10"/>
          </w:tcPr>
          <w:p w:rsidR="00DB17CE" w:rsidRDefault="006265B5">
            <w:pPr>
              <w:spacing w:after="0" w:line="259" w:lineRule="auto"/>
              <w:ind w:left="0" w:firstLine="0"/>
            </w:pPr>
            <w:r>
              <w:t>gram</w:t>
            </w:r>
          </w:p>
        </w:tc>
        <w:tc>
          <w:tcPr>
            <w:tcW w:w="562" w:type="dxa"/>
            <w:tcBorders>
              <w:top w:val="nil"/>
              <w:left w:val="single" w:sz="41" w:space="0" w:color="FFEF10"/>
              <w:bottom w:val="nil"/>
              <w:right w:val="single" w:sz="41" w:space="0" w:color="FFEF10"/>
            </w:tcBorders>
            <w:shd w:val="clear" w:color="auto" w:fill="FFEF10"/>
          </w:tcPr>
          <w:p w:rsidR="00DB17CE" w:rsidRDefault="006265B5">
            <w:pPr>
              <w:spacing w:after="0" w:line="259" w:lineRule="auto"/>
              <w:ind w:left="51" w:firstLine="0"/>
            </w:pPr>
            <w:r>
              <w:t>grant</w:t>
            </w:r>
          </w:p>
        </w:tc>
        <w:tc>
          <w:tcPr>
            <w:tcW w:w="958" w:type="dxa"/>
            <w:tcBorders>
              <w:top w:val="nil"/>
              <w:left w:val="single" w:sz="41" w:space="0" w:color="FFEF10"/>
              <w:bottom w:val="nil"/>
              <w:right w:val="single" w:sz="41" w:space="0" w:color="FFEF10"/>
            </w:tcBorders>
            <w:shd w:val="clear" w:color="auto" w:fill="FFEF10"/>
          </w:tcPr>
          <w:p w:rsidR="00DB17CE" w:rsidRDefault="006265B5">
            <w:pPr>
              <w:spacing w:after="0" w:line="259" w:lineRule="auto"/>
              <w:ind w:left="51" w:firstLine="0"/>
            </w:pPr>
            <w:r>
              <w:t>RGY006S</w:t>
            </w:r>
          </w:p>
        </w:tc>
        <w:tc>
          <w:tcPr>
            <w:tcW w:w="356" w:type="dxa"/>
            <w:tcBorders>
              <w:top w:val="nil"/>
              <w:left w:val="single" w:sz="41" w:space="0" w:color="FFEF10"/>
              <w:bottom w:val="nil"/>
              <w:right w:val="single" w:sz="41" w:space="0" w:color="FFEF10"/>
            </w:tcBorders>
            <w:shd w:val="clear" w:color="auto" w:fill="FFEF10"/>
          </w:tcPr>
          <w:p w:rsidR="00DB17CE" w:rsidRDefault="006265B5">
            <w:pPr>
              <w:spacing w:after="0" w:line="259" w:lineRule="auto"/>
              <w:ind w:left="51" w:firstLine="0"/>
            </w:pPr>
            <w:r>
              <w:t>(to</w:t>
            </w:r>
          </w:p>
        </w:tc>
        <w:tc>
          <w:tcPr>
            <w:tcW w:w="763" w:type="dxa"/>
            <w:tcBorders>
              <w:top w:val="nil"/>
              <w:left w:val="single" w:sz="41" w:space="0" w:color="FFEF10"/>
              <w:bottom w:val="nil"/>
              <w:right w:val="nil"/>
            </w:tcBorders>
            <w:shd w:val="clear" w:color="auto" w:fill="FFEF10"/>
          </w:tcPr>
          <w:p w:rsidR="00DB17CE" w:rsidRDefault="00DB17CE">
            <w:pPr>
              <w:spacing w:after="160" w:line="259" w:lineRule="auto"/>
              <w:ind w:left="0" w:firstLine="0"/>
              <w:jc w:val="left"/>
            </w:pPr>
          </w:p>
        </w:tc>
      </w:tr>
    </w:tbl>
    <w:p w:rsidR="00DB17CE" w:rsidRDefault="006265B5">
      <w:pPr>
        <w:spacing w:after="16" w:line="259" w:lineRule="auto"/>
        <w:ind w:right="-15"/>
        <w:jc w:val="right"/>
      </w:pPr>
      <w:r>
        <w:t>W.J.G). W.J.G is a Chan</w:t>
      </w:r>
    </w:p>
    <w:p w:rsidR="00DB17CE" w:rsidRDefault="006265B5">
      <w:pPr>
        <w:ind w:left="-5"/>
      </w:pPr>
      <w:r>
        <w:t>Zuckerberg Biohub investigator and acknowledges grants</w:t>
      </w:r>
    </w:p>
    <w:p w:rsidR="00DB17CE" w:rsidRDefault="006265B5">
      <w:pPr>
        <w:ind w:left="-5"/>
      </w:pPr>
      <w:r>
        <w:t xml:space="preserve">2017-174468 and 2018-182817 from the Chan Zuckerberg Initiative. Fellowship support provided by the Stanford </w:t>
      </w:r>
      <w:r>
        <w:lastRenderedPageBreak/>
        <w:t xml:space="preserve">School of Medicine Dean’s Fellowship (G.K.M.), the Siebel Scholars, the Enhancing Diversity </w:t>
      </w:r>
      <w:r>
        <w:t>in Graduate Education Program and the Weiland Family Fellowship (A.E.T.). This work is also supported by NSF-IOS EDGE Award 1645164 and Carnegie Venture grant 10907 (to T.X. and G.K.M.).</w:t>
      </w:r>
    </w:p>
    <w:p w:rsidR="00DB17CE" w:rsidRDefault="006265B5">
      <w:pPr>
        <w:spacing w:after="16" w:line="259" w:lineRule="auto"/>
        <w:ind w:right="-15"/>
        <w:jc w:val="right"/>
      </w:pPr>
      <w:r>
        <w:t xml:space="preserve">The authors would like to thank Zohar Shipony, </w:t>
      </w:r>
      <w:r>
        <w:rPr>
          <w:shd w:val="clear" w:color="auto" w:fill="FFEF10"/>
        </w:rPr>
        <w:t>Erez</w:t>
      </w:r>
    </w:p>
    <w:tbl>
      <w:tblPr>
        <w:tblStyle w:val="TableGrid"/>
        <w:tblpPr w:vertAnchor="text" w:tblpX="-5" w:tblpYSpec="bottom"/>
        <w:tblOverlap w:val="never"/>
        <w:tblW w:w="1497" w:type="dxa"/>
        <w:tblInd w:w="0" w:type="dxa"/>
        <w:tblCellMar>
          <w:top w:w="12" w:type="dxa"/>
          <w:left w:w="0" w:type="dxa"/>
          <w:bottom w:w="0" w:type="dxa"/>
          <w:right w:w="0" w:type="dxa"/>
        </w:tblCellMar>
        <w:tblLook w:val="04A0" w:firstRow="1" w:lastRow="0" w:firstColumn="1" w:lastColumn="0" w:noHBand="0" w:noVBand="1"/>
      </w:tblPr>
      <w:tblGrid>
        <w:gridCol w:w="556"/>
        <w:gridCol w:w="399"/>
        <w:gridCol w:w="542"/>
      </w:tblGrid>
      <w:tr w:rsidR="00DB17CE">
        <w:trPr>
          <w:trHeight w:val="214"/>
        </w:trPr>
        <w:tc>
          <w:tcPr>
            <w:tcW w:w="556" w:type="dxa"/>
            <w:tcBorders>
              <w:top w:val="nil"/>
              <w:left w:val="nil"/>
              <w:bottom w:val="nil"/>
              <w:right w:val="nil"/>
            </w:tcBorders>
            <w:shd w:val="clear" w:color="auto" w:fill="FFEF10"/>
          </w:tcPr>
          <w:p w:rsidR="00DB17CE" w:rsidRDefault="006265B5">
            <w:pPr>
              <w:spacing w:after="0" w:line="259" w:lineRule="auto"/>
              <w:ind w:left="5" w:firstLine="0"/>
            </w:pPr>
            <w:r>
              <w:t>Lieber</w:t>
            </w:r>
          </w:p>
        </w:tc>
        <w:tc>
          <w:tcPr>
            <w:tcW w:w="399" w:type="dxa"/>
            <w:tcBorders>
              <w:top w:val="nil"/>
              <w:left w:val="nil"/>
              <w:bottom w:val="nil"/>
              <w:right w:val="single" w:sz="18" w:space="0" w:color="FFEF10"/>
            </w:tcBorders>
            <w:shd w:val="clear" w:color="auto" w:fill="FFEF10"/>
          </w:tcPr>
          <w:p w:rsidR="00DB17CE" w:rsidRDefault="006265B5">
            <w:pPr>
              <w:spacing w:after="0" w:line="259" w:lineRule="auto"/>
              <w:ind w:left="0" w:firstLine="0"/>
            </w:pPr>
            <w:r>
              <w:t>man</w:t>
            </w:r>
          </w:p>
        </w:tc>
        <w:tc>
          <w:tcPr>
            <w:tcW w:w="542" w:type="dxa"/>
            <w:tcBorders>
              <w:top w:val="nil"/>
              <w:left w:val="single" w:sz="18" w:space="0" w:color="FFEF10"/>
              <w:bottom w:val="nil"/>
              <w:right w:val="nil"/>
            </w:tcBorders>
            <w:shd w:val="clear" w:color="auto" w:fill="FFEF10"/>
          </w:tcPr>
          <w:p w:rsidR="00DB17CE" w:rsidRDefault="00DB17CE">
            <w:pPr>
              <w:spacing w:after="160" w:line="259" w:lineRule="auto"/>
              <w:ind w:left="0" w:firstLine="0"/>
              <w:jc w:val="left"/>
            </w:pPr>
          </w:p>
        </w:tc>
      </w:tr>
    </w:tbl>
    <w:p w:rsidR="00DB17CE" w:rsidRDefault="006265B5">
      <w:pPr>
        <w:spacing w:after="385"/>
        <w:ind w:left="-15" w:firstLine="972"/>
      </w:pPr>
      <w:r>
        <w:t>Aiden, Philip Cleves, and members of the Greenleaf, Kundaje, Pringle and Grossman labs for helpful discussion and suggestions regarding this work.</w:t>
      </w:r>
    </w:p>
    <w:p w:rsidR="00DB17CE" w:rsidRDefault="006265B5">
      <w:pPr>
        <w:pStyle w:val="Heading1"/>
        <w:spacing w:after="169"/>
      </w:pPr>
      <w:r>
        <w:t>References</w:t>
      </w:r>
    </w:p>
    <w:p w:rsidR="00DB17CE" w:rsidRDefault="006265B5">
      <w:pPr>
        <w:numPr>
          <w:ilvl w:val="0"/>
          <w:numId w:val="3"/>
        </w:numPr>
        <w:ind w:hanging="354"/>
      </w:pPr>
      <w:r>
        <w:t xml:space="preserve">Knight P, Ruiz D. 2013. A fast algorithm for matrix balancing. </w:t>
      </w:r>
      <w:r>
        <w:rPr>
          <w:i/>
        </w:rPr>
        <w:t xml:space="preserve">IMA J Num Anal </w:t>
      </w:r>
      <w:r>
        <w:rPr>
          <w:b/>
        </w:rPr>
        <w:t>33</w:t>
      </w:r>
      <w:r>
        <w:t>(3):1029–1047.</w:t>
      </w:r>
    </w:p>
    <w:p w:rsidR="00DB17CE" w:rsidRDefault="006265B5">
      <w:pPr>
        <w:numPr>
          <w:ilvl w:val="0"/>
          <w:numId w:val="3"/>
        </w:numPr>
        <w:ind w:hanging="354"/>
      </w:pPr>
      <w:r>
        <w:t xml:space="preserve">Szabo Q, Bantignies F, Cavalli G. 2019. Principles of genome folding into topologically associating domains. </w:t>
      </w:r>
      <w:r>
        <w:rPr>
          <w:i/>
        </w:rPr>
        <w:t xml:space="preserve">Sci Adv </w:t>
      </w:r>
      <w:r>
        <w:rPr>
          <w:b/>
        </w:rPr>
        <w:t>5</w:t>
      </w:r>
      <w:r>
        <w:t>(4):eaaw1668.</w:t>
      </w:r>
    </w:p>
    <w:p w:rsidR="00DB17CE" w:rsidRDefault="006265B5">
      <w:pPr>
        <w:numPr>
          <w:ilvl w:val="0"/>
          <w:numId w:val="3"/>
        </w:numPr>
        <w:ind w:hanging="354"/>
      </w:pPr>
      <w:r>
        <w:t>Fidel Ramirez, Vivek Bhardwaj, Jose Villaveces, Laura Arrigoni, Bjoern A Gruening,Kin Chung Lam, Bianca Habermann, Asifa Akh</w:t>
      </w:r>
      <w:r>
        <w:t>tar, Thomas Manke. “High-resolution TADs reveal DNA sequences underlying genome organization in flies”. Nature Communications, Volume 9, Article number: 189 (2018).</w:t>
      </w:r>
    </w:p>
    <w:p w:rsidR="00DB17CE" w:rsidRDefault="006265B5">
      <w:pPr>
        <w:numPr>
          <w:ilvl w:val="0"/>
          <w:numId w:val="3"/>
        </w:numPr>
        <w:ind w:hanging="354"/>
      </w:pPr>
      <w:r>
        <w:t xml:space="preserve">Rao SSP, Huang SC, Glenn St Hilaire B, Engreitz JM, Perez EM, Kieffer-Kwon KR, Sanborn AL, </w:t>
      </w:r>
      <w:r>
        <w:t xml:space="preserve">Johnstone SE, Bascom GD, Bochkov ID, Huang X, Shamim MS, Shin J, Turner D, Ye Z, Omer AD, Robinson JT, Schlick T, Bernstein BE, Casellas R, Lander ES, Aiden EL. 2017. Cohesin Loss Eliminates All Loop Domains. </w:t>
      </w:r>
      <w:r>
        <w:rPr>
          <w:i/>
        </w:rPr>
        <w:t xml:space="preserve">Cell </w:t>
      </w:r>
      <w:r>
        <w:rPr>
          <w:b/>
        </w:rPr>
        <w:t>171</w:t>
      </w:r>
      <w:r>
        <w:t>(2):305–320.e24.</w:t>
      </w:r>
    </w:p>
    <w:p w:rsidR="00DB17CE" w:rsidRDefault="006265B5">
      <w:pPr>
        <w:numPr>
          <w:ilvl w:val="0"/>
          <w:numId w:val="3"/>
        </w:numPr>
        <w:ind w:hanging="354"/>
      </w:pPr>
      <w:r>
        <w:t xml:space="preserve">Narendra V, Rocha PP, </w:t>
      </w:r>
      <w:r>
        <w:t xml:space="preserve">An D, Raviram R, Skok JA, Mazzoni EO, Reinberg D. 2015. CTCF establishes discrete functional chromatin domains at the </w:t>
      </w:r>
      <w:r>
        <w:rPr>
          <w:i/>
        </w:rPr>
        <w:t xml:space="preserve">Hox </w:t>
      </w:r>
      <w:r>
        <w:t xml:space="preserve">clusters during differentiation. </w:t>
      </w:r>
      <w:r>
        <w:rPr>
          <w:i/>
        </w:rPr>
        <w:t xml:space="preserve">Science </w:t>
      </w:r>
      <w:r>
        <w:rPr>
          <w:b/>
        </w:rPr>
        <w:t>347</w:t>
      </w:r>
      <w:r>
        <w:t>(6225):1017– 1021.</w:t>
      </w:r>
    </w:p>
    <w:p w:rsidR="00DB17CE" w:rsidRDefault="006265B5">
      <w:pPr>
        <w:numPr>
          <w:ilvl w:val="0"/>
          <w:numId w:val="3"/>
        </w:numPr>
        <w:ind w:hanging="354"/>
      </w:pPr>
      <w:r>
        <w:t>Vian L, Pekowska A, Rao SSP, Kieffer–Kwon KR, Jung S, Baranello L, Huan</w:t>
      </w:r>
      <w:r>
        <w:t>g SC, El Khattabi L, Dose M, Pruett N, Sanborn AL, Canela A, Maman Y, Oksanen A, Resch W, Li X, Lee B, Kovalchuk AL, Tang Z, Nelson S, Di Pierro M, Cheng RR, Machol I, St Hilaire BG, Durand NC, Shamim MS, Stamenova EK, Onuchic JN, Ruan Y, Nussenzweig A, Le</w:t>
      </w:r>
      <w:r>
        <w:t xml:space="preserve">vens D, Aiden EL, Casellas R. 2018. The Energetics and Physiological Impact of Cohesin Extrusion. </w:t>
      </w:r>
      <w:r>
        <w:rPr>
          <w:i/>
        </w:rPr>
        <w:t xml:space="preserve">Cell </w:t>
      </w:r>
      <w:r>
        <w:rPr>
          <w:b/>
        </w:rPr>
        <w:t>173</w:t>
      </w:r>
      <w:r>
        <w:t>(5):1165– 1178.e20.</w:t>
      </w:r>
    </w:p>
    <w:p w:rsidR="00DB17CE" w:rsidRDefault="006265B5">
      <w:pPr>
        <w:numPr>
          <w:ilvl w:val="0"/>
          <w:numId w:val="3"/>
        </w:numPr>
        <w:ind w:hanging="354"/>
      </w:pPr>
      <w:r>
        <w:t xml:space="preserve">Lupi´an˜ez DG, Kraft K, Heinrich V, Krawitz P, Brancati F, Klopocki E, Horn D, Kayserili H, Opitz JM, Laxova R, Santos-Simarro F, </w:t>
      </w:r>
      <w:r>
        <w:t xml:space="preserve">Gilbert-Dussardier B, Wittler L, Borschiwer M, Haas SA, Osterwalder M, Franke M, Timmermann B, Hecht J, Spielmann M, Visel A, Mundlos S. 2015. Disruptions of topological chromatin domains </w:t>
      </w:r>
      <w:r>
        <w:t xml:space="preserve">cause pathogenic rewiring of geneenhancer interactions. </w:t>
      </w:r>
      <w:r>
        <w:rPr>
          <w:i/>
        </w:rPr>
        <w:t xml:space="preserve">Cell </w:t>
      </w:r>
      <w:r>
        <w:rPr>
          <w:b/>
        </w:rPr>
        <w:t>161</w:t>
      </w:r>
      <w:r>
        <w:t>(5):</w:t>
      </w:r>
      <w:r>
        <w:t>1012–1025.</w:t>
      </w:r>
    </w:p>
    <w:p w:rsidR="00DB17CE" w:rsidRDefault="006265B5">
      <w:pPr>
        <w:numPr>
          <w:ilvl w:val="0"/>
          <w:numId w:val="3"/>
        </w:numPr>
        <w:ind w:hanging="354"/>
      </w:pPr>
      <w:r>
        <w:t>Pope BD, Ryba T, Dileep V, Yue F, Wu W, Denas O, Vera DL, Wang Y, Hansen RS, Canfield TK, Thurman RE, Cheng Y, Gu¨lsoy G, Dennis JH, Snyder MP, Stamatoyannopoulos JA, Taylor J, Hardison RC, Kahveci T, Ren B, Gilbert DM. 2014. Topologically assoc</w:t>
      </w:r>
      <w:r>
        <w:t xml:space="preserve">iating domains are stable units of replicationtiming regulation. </w:t>
      </w:r>
      <w:r>
        <w:rPr>
          <w:i/>
        </w:rPr>
        <w:t xml:space="preserve">Nature </w:t>
      </w:r>
      <w:r>
        <w:rPr>
          <w:b/>
        </w:rPr>
        <w:t>515</w:t>
      </w:r>
      <w:r>
        <w:t>(7527):402–405.</w:t>
      </w:r>
    </w:p>
    <w:p w:rsidR="00DB17CE" w:rsidRDefault="006265B5">
      <w:pPr>
        <w:numPr>
          <w:ilvl w:val="0"/>
          <w:numId w:val="3"/>
        </w:numPr>
        <w:ind w:hanging="354"/>
      </w:pPr>
      <w:r>
        <w:t xml:space="preserve">Canela A, Maman Y, Jung S, Wong N, Callen E, Day A, Kieffer-Kwon KR, Pekowska A, Zhang H, Rao SSP, Huang SC, Mckinnon PJ, Aplan PD, Pommier Y, Aiden EL, Casellas R, </w:t>
      </w:r>
      <w:r>
        <w:t xml:space="preserve">Nussenzweig A. 2017. Genome Organization Drives Chromosome Fragility. </w:t>
      </w:r>
      <w:r>
        <w:rPr>
          <w:i/>
        </w:rPr>
        <w:t xml:space="preserve">Cell </w:t>
      </w:r>
      <w:r>
        <w:rPr>
          <w:b/>
        </w:rPr>
        <w:t>170</w:t>
      </w:r>
      <w:r>
        <w:t>(3):507–521.e18.</w:t>
      </w:r>
    </w:p>
    <w:p w:rsidR="00DB17CE" w:rsidRDefault="006265B5">
      <w:pPr>
        <w:numPr>
          <w:ilvl w:val="0"/>
          <w:numId w:val="3"/>
        </w:numPr>
        <w:ind w:hanging="354"/>
      </w:pPr>
      <w:r>
        <w:t xml:space="preserve">LaJeunesse TC, Parkinson JE, Gabrielson PW, Jeong HJ, Reimer JD, Voolstra CR, Santos SR. 2018. Systematic Revision of Symbiodiniaceae Highlights the Antiquity and Diversity of Coral Endosymbionts. </w:t>
      </w:r>
      <w:r>
        <w:rPr>
          <w:i/>
        </w:rPr>
        <w:t xml:space="preserve">Curr Biol </w:t>
      </w:r>
      <w:r>
        <w:rPr>
          <w:b/>
        </w:rPr>
        <w:t>28</w:t>
      </w:r>
      <w:r>
        <w:t>(16):2570–2580.e6.</w:t>
      </w:r>
    </w:p>
    <w:p w:rsidR="00DB17CE" w:rsidRDefault="006265B5">
      <w:pPr>
        <w:numPr>
          <w:ilvl w:val="0"/>
          <w:numId w:val="3"/>
        </w:numPr>
        <w:ind w:hanging="354"/>
      </w:pPr>
      <w:r>
        <w:t>Hackett JD, Anderson DM, Erd</w:t>
      </w:r>
      <w:r>
        <w:t xml:space="preserve">ner DL, Bhattacharya D. 2004. Dinoflagellates: a remarkable evolutionary experiment. </w:t>
      </w:r>
      <w:r>
        <w:rPr>
          <w:i/>
        </w:rPr>
        <w:t xml:space="preserve">Am J Bot </w:t>
      </w:r>
      <w:r>
        <w:rPr>
          <w:b/>
        </w:rPr>
        <w:t>91</w:t>
      </w:r>
      <w:r>
        <w:t>:1523–1534.</w:t>
      </w:r>
    </w:p>
    <w:p w:rsidR="00DB17CE" w:rsidRDefault="006265B5">
      <w:pPr>
        <w:numPr>
          <w:ilvl w:val="0"/>
          <w:numId w:val="3"/>
        </w:numPr>
        <w:ind w:hanging="354"/>
      </w:pPr>
      <w:r>
        <w:t xml:space="preserve">Talbert PB, Meers MP, Henikoff S. 2019. Old cogs, new tricks: the evolution of gene expression in a chromatin context. </w:t>
      </w:r>
      <w:r>
        <w:rPr>
          <w:i/>
        </w:rPr>
        <w:t xml:space="preserve">Nat Rev Genet </w:t>
      </w:r>
      <w:r>
        <w:rPr>
          <w:b/>
        </w:rPr>
        <w:t>20</w:t>
      </w:r>
      <w:r>
        <w:t>(5):283–297.</w:t>
      </w:r>
    </w:p>
    <w:p w:rsidR="00DB17CE" w:rsidRDefault="006265B5">
      <w:pPr>
        <w:numPr>
          <w:ilvl w:val="0"/>
          <w:numId w:val="3"/>
        </w:numPr>
        <w:ind w:hanging="354"/>
      </w:pPr>
      <w:r>
        <w:t xml:space="preserve">Jenuwein T, Allis CD. 2001. Translating the histone code. </w:t>
      </w:r>
      <w:r>
        <w:rPr>
          <w:i/>
        </w:rPr>
        <w:t xml:space="preserve">Science </w:t>
      </w:r>
      <w:r>
        <w:rPr>
          <w:b/>
        </w:rPr>
        <w:t>293</w:t>
      </w:r>
      <w:r>
        <w:t>(5532):1074–1080.</w:t>
      </w:r>
    </w:p>
    <w:p w:rsidR="00DB17CE" w:rsidRDefault="006265B5">
      <w:pPr>
        <w:numPr>
          <w:ilvl w:val="0"/>
          <w:numId w:val="3"/>
        </w:numPr>
        <w:ind w:hanging="354"/>
      </w:pPr>
      <w:r>
        <w:t xml:space="preserve">Postberg J, Forcob S, Chang WJ, Lipps HJ. 2010. The evolutionary history of histone H3 suggests a deep eukaryotic root of chromatin modifying mechanisms. </w:t>
      </w:r>
      <w:r>
        <w:rPr>
          <w:i/>
        </w:rPr>
        <w:t xml:space="preserve">BMC Evol Biol </w:t>
      </w:r>
      <w:r>
        <w:rPr>
          <w:b/>
        </w:rPr>
        <w:t>1</w:t>
      </w:r>
      <w:r>
        <w:rPr>
          <w:b/>
        </w:rPr>
        <w:t>0</w:t>
      </w:r>
      <w:r>
        <w:t>:259.</w:t>
      </w:r>
    </w:p>
    <w:p w:rsidR="00DB17CE" w:rsidRDefault="006265B5">
      <w:pPr>
        <w:numPr>
          <w:ilvl w:val="0"/>
          <w:numId w:val="3"/>
        </w:numPr>
        <w:ind w:hanging="354"/>
      </w:pPr>
      <w:r>
        <w:t xml:space="preserve">Herzog M, Soyer MO. 1981. Distinctive features of dinoflagellate chromatin. Absence of nucleosomes in a primitive species </w:t>
      </w:r>
      <w:r>
        <w:rPr>
          <w:i/>
        </w:rPr>
        <w:t xml:space="preserve">Prorocentrum micans </w:t>
      </w:r>
      <w:r>
        <w:t xml:space="preserve">E. </w:t>
      </w:r>
      <w:r>
        <w:rPr>
          <w:i/>
        </w:rPr>
        <w:t xml:space="preserve">Eur J Cell Biol </w:t>
      </w:r>
      <w:r>
        <w:rPr>
          <w:b/>
        </w:rPr>
        <w:t>23</w:t>
      </w:r>
      <w:r>
        <w:t>(2):295–302.</w:t>
      </w:r>
    </w:p>
    <w:p w:rsidR="00DB17CE" w:rsidRDefault="006265B5">
      <w:pPr>
        <w:numPr>
          <w:ilvl w:val="0"/>
          <w:numId w:val="3"/>
        </w:numPr>
        <w:ind w:hanging="354"/>
      </w:pPr>
      <w:r>
        <w:t>Marinov GK, Lynch M. 2015. Diversity and Divergence of Dinoflagellate His</w:t>
      </w:r>
      <w:r>
        <w:t xml:space="preserve">tone Proteins. </w:t>
      </w:r>
      <w:r>
        <w:rPr>
          <w:i/>
        </w:rPr>
        <w:t xml:space="preserve">G3 (Bethesda) </w:t>
      </w:r>
      <w:r>
        <w:rPr>
          <w:b/>
        </w:rPr>
        <w:t>6</w:t>
      </w:r>
      <w:r>
        <w:t>(2):397–422.</w:t>
      </w:r>
    </w:p>
    <w:p w:rsidR="00DB17CE" w:rsidRDefault="006265B5">
      <w:pPr>
        <w:numPr>
          <w:ilvl w:val="0"/>
          <w:numId w:val="3"/>
        </w:numPr>
        <w:ind w:hanging="354"/>
      </w:pPr>
      <w:r>
        <w:t xml:space="preserve">Gornik SG, Ford KL, Mulhern TD, Bacic A, McFadden GI, Waller RF. 2012. Loss of nucleosomal DNA condensation coincides with appearance of a novel nuclear protein in dinoflagellates. </w:t>
      </w:r>
      <w:r>
        <w:rPr>
          <w:i/>
        </w:rPr>
        <w:t xml:space="preserve">Curr Biol </w:t>
      </w:r>
      <w:r>
        <w:rPr>
          <w:b/>
        </w:rPr>
        <w:t>22</w:t>
      </w:r>
      <w:r>
        <w:t>(24):2303–2312.</w:t>
      </w:r>
    </w:p>
    <w:p w:rsidR="00DB17CE" w:rsidRDefault="006265B5">
      <w:pPr>
        <w:numPr>
          <w:ilvl w:val="0"/>
          <w:numId w:val="3"/>
        </w:numPr>
        <w:ind w:hanging="354"/>
      </w:pPr>
      <w:r>
        <w:t>Jano</w:t>
      </w:r>
      <w:r>
        <w:t>uˇskovec J, Gavelis GS, Burki F, Dinh D, Bachvaroff TR, Gornik SG, Bright KJ, Imanian B, Strom SL, Delwiche CF, Waller RF, Fensome RA, Leander BS, Rohwer FL, Saldarriaga JF. 2017. Major transitions in dinoflagellate evolution unveiled by phylotranscriptomi</w:t>
      </w:r>
      <w:r>
        <w:t xml:space="preserve">cs. </w:t>
      </w:r>
      <w:r>
        <w:rPr>
          <w:i/>
        </w:rPr>
        <w:t xml:space="preserve">Proc Natl Acad Sci U S A </w:t>
      </w:r>
      <w:r>
        <w:rPr>
          <w:b/>
        </w:rPr>
        <w:t>114</w:t>
      </w:r>
      <w:r>
        <w:t>(2):E171– E180.</w:t>
      </w:r>
    </w:p>
    <w:p w:rsidR="00DB17CE" w:rsidRDefault="006265B5">
      <w:pPr>
        <w:numPr>
          <w:ilvl w:val="0"/>
          <w:numId w:val="3"/>
        </w:numPr>
        <w:ind w:hanging="354"/>
      </w:pPr>
      <w:r>
        <w:t xml:space="preserve">Lukes J, Leander BS, Keeling PJ. 2009. Cascades of convergent evolution: the corresponding evolutionary </w:t>
      </w:r>
      <w:r>
        <w:lastRenderedPageBreak/>
        <w:t xml:space="preserve">histories of euglenozoans and dinoflagellates. </w:t>
      </w:r>
      <w:r>
        <w:rPr>
          <w:i/>
        </w:rPr>
        <w:t xml:space="preserve">Proc Natl Acad Sci U S A </w:t>
      </w:r>
      <w:r>
        <w:rPr>
          <w:b/>
        </w:rPr>
        <w:t xml:space="preserve">106 </w:t>
      </w:r>
      <w:r>
        <w:t>Suppl 1:9963–9970</w:t>
      </w:r>
    </w:p>
    <w:p w:rsidR="00DB17CE" w:rsidRDefault="006265B5">
      <w:pPr>
        <w:numPr>
          <w:ilvl w:val="0"/>
          <w:numId w:val="3"/>
        </w:numPr>
        <w:spacing w:after="0"/>
        <w:ind w:hanging="354"/>
      </w:pPr>
      <w:r>
        <w:t>Shoguchi E</w:t>
      </w:r>
      <w:r>
        <w:t>, Shinzato C, Kawashima T, Gyoja F, Mungpakdee S, Koyanagi R, Takeuchi T, Hisata K,</w:t>
      </w:r>
    </w:p>
    <w:p w:rsidR="00DB17CE" w:rsidRDefault="006265B5">
      <w:pPr>
        <w:spacing w:after="16" w:line="259" w:lineRule="auto"/>
        <w:ind w:right="-15"/>
        <w:jc w:val="right"/>
      </w:pPr>
      <w:r>
        <w:t>Tanaka M, Fujiwara M, Hamada M, Seidi A, Fu-</w:t>
      </w:r>
    </w:p>
    <w:p w:rsidR="00DB17CE" w:rsidRDefault="006265B5">
      <w:pPr>
        <w:spacing w:after="50"/>
        <w:ind w:left="364"/>
      </w:pPr>
      <w:r>
        <w:t>jie M, Usami T, Goto H, Yamasaki S, Arakaki N, Suzuki Y, Sugano S, Toyoda A, Kuroki Y, Fujiyama A, Medina M, Coffroth MA, Bhatt</w:t>
      </w:r>
      <w:r>
        <w:t xml:space="preserve">acharya D, Satoh N. 2013. Draft assembly of the </w:t>
      </w:r>
      <w:r>
        <w:rPr>
          <w:i/>
        </w:rPr>
        <w:t xml:space="preserve">Symbiodinium minutum </w:t>
      </w:r>
      <w:r>
        <w:t xml:space="preserve">nuclear genome reveals dinoflagellate gene structure. </w:t>
      </w:r>
      <w:r>
        <w:rPr>
          <w:i/>
        </w:rPr>
        <w:t xml:space="preserve">Curr Biol </w:t>
      </w:r>
      <w:r>
        <w:rPr>
          <w:b/>
        </w:rPr>
        <w:t>23</w:t>
      </w:r>
      <w:r>
        <w:t>(15):1399–1408.</w:t>
      </w:r>
    </w:p>
    <w:p w:rsidR="00DB17CE" w:rsidRDefault="006265B5">
      <w:pPr>
        <w:numPr>
          <w:ilvl w:val="0"/>
          <w:numId w:val="3"/>
        </w:numPr>
        <w:ind w:hanging="354"/>
      </w:pPr>
      <w:r>
        <w:t>Dudchenko O, Batra SS, Omer AD, Nyquist SK, Hoeger M, Durand NC, Shamim MS, Machol I, Lander ES, Aiden AP</w:t>
      </w:r>
      <w:r>
        <w:t xml:space="preserve">, Aiden EL. 2017. De novo assembly of the Aedes aegypti genome using Hi-C yields chromosome-length scaffolds. </w:t>
      </w:r>
      <w:r>
        <w:rPr>
          <w:i/>
        </w:rPr>
        <w:t xml:space="preserve">Science </w:t>
      </w:r>
      <w:r>
        <w:rPr>
          <w:b/>
        </w:rPr>
        <w:t>356</w:t>
      </w:r>
      <w:r>
        <w:t>(6333):92– 95.</w:t>
      </w:r>
    </w:p>
    <w:p w:rsidR="00DB17CE" w:rsidRDefault="006265B5">
      <w:pPr>
        <w:numPr>
          <w:ilvl w:val="0"/>
          <w:numId w:val="3"/>
        </w:numPr>
        <w:ind w:hanging="354"/>
      </w:pPr>
      <w:r>
        <w:t xml:space="preserve">Li T, Yu L, Song B, Song Y, Li L, Lin X, Lin S. 2020. Genome Improvement and Core Gene Set Refinement of </w:t>
      </w:r>
      <w:r>
        <w:rPr>
          <w:i/>
        </w:rPr>
        <w:t>Fugacium kawagutii</w:t>
      </w:r>
      <w:r>
        <w:t xml:space="preserve">. </w:t>
      </w:r>
      <w:r>
        <w:rPr>
          <w:i/>
        </w:rPr>
        <w:t xml:space="preserve">Microorganisms </w:t>
      </w:r>
      <w:r>
        <w:rPr>
          <w:b/>
        </w:rPr>
        <w:t>8</w:t>
      </w:r>
      <w:r>
        <w:t>(1). pii: E102.</w:t>
      </w:r>
    </w:p>
    <w:p w:rsidR="00DB17CE" w:rsidRDefault="006265B5">
      <w:pPr>
        <w:numPr>
          <w:ilvl w:val="0"/>
          <w:numId w:val="3"/>
        </w:numPr>
        <w:spacing w:after="3"/>
        <w:ind w:hanging="354"/>
      </w:pPr>
      <w:r>
        <w:t>Keeling PJ, Burki F, Wilcox HM, Allam B, Allen</w:t>
      </w:r>
    </w:p>
    <w:p w:rsidR="00DB17CE" w:rsidRDefault="006265B5">
      <w:pPr>
        <w:spacing w:after="0"/>
        <w:ind w:left="364"/>
      </w:pPr>
      <w:r>
        <w:t>EE, Amaral-Zettler LA, Armbrust EV, Archibald JM, Bharti AK, Bell CJ, Beszteri B, Bidle KD, Cameron CT, Campbell L, Caron DA, Cattolico RA, Collier JL, Coyne</w:t>
      </w:r>
      <w:r>
        <w:t xml:space="preserve"> K, Davy SK, Deschamps P, Dyhrman ST,</w:t>
      </w:r>
    </w:p>
    <w:p w:rsidR="00DB17CE" w:rsidRDefault="006265B5">
      <w:pPr>
        <w:spacing w:after="0"/>
        <w:ind w:left="364"/>
      </w:pPr>
      <w:r>
        <w:t>Edvardsen B, Gates RD, Gobler CJ, Greenwood SJ, Guida SM, Jacobi JL, Jakobsen KS, James ER, Jenkins B, John U, Johnson MD, Juhl AR, Kamp A, Katz LA, Kiene R, Kudryavtsev A, Leander BS, Lin S, Lovejoy C, Lynn D, Marchet</w:t>
      </w:r>
      <w:r>
        <w:t>ti A, McManus G, Nedelcu AM, Menden-Deuer S, Miceli C, Mock T, Montresor M, Moran MA, Murray S, Nadathur G, Nagai S, Ngam PB, Palenik B, Pawlowski J, Petroni G, Piganeau G, Posewitz MC, Rengefors K, Romano G, Rumpho ME, Rynearson T, Schilling KB, Schroeder</w:t>
      </w:r>
      <w:r>
        <w:t xml:space="preserve"> DC, Simpson AG, Slamovits CH, Smith DR, Smith GJ, Smith SR, Sosik HM, Stief P, Theriot E, Twary</w:t>
      </w:r>
    </w:p>
    <w:p w:rsidR="00DB17CE" w:rsidRDefault="006265B5">
      <w:pPr>
        <w:spacing w:after="52"/>
        <w:ind w:left="364"/>
      </w:pPr>
      <w:r>
        <w:t>SN, Umale PE, Vaulot D, Wawrik B, Wheeler GL, Wilson WH, Xu Y, Zingone A, Worden AZ. 2014. The Marine Microbial Eukaryote Transcriptome Sequencing Project (MME</w:t>
      </w:r>
      <w:r>
        <w:t xml:space="preserve">TSP): illuminating the functional diversity of eukaryotic life in the oceans through transcriptome sequencing. </w:t>
      </w:r>
      <w:r>
        <w:rPr>
          <w:i/>
        </w:rPr>
        <w:t xml:space="preserve">PLoS Biol </w:t>
      </w:r>
      <w:r>
        <w:rPr>
          <w:b/>
        </w:rPr>
        <w:t>12</w:t>
      </w:r>
      <w:r>
        <w:t>(6):e1001889.</w:t>
      </w:r>
    </w:p>
    <w:p w:rsidR="00DB17CE" w:rsidRDefault="006265B5">
      <w:pPr>
        <w:numPr>
          <w:ilvl w:val="0"/>
          <w:numId w:val="3"/>
        </w:numPr>
        <w:ind w:hanging="354"/>
      </w:pPr>
      <w:r>
        <w:t xml:space="preserve">Oakley BR. Dodge JD. 1979. Evidence for a doublehelically coiled toroidal chromonema in the dinoflagellate chromosome. </w:t>
      </w:r>
      <w:r>
        <w:rPr>
          <w:i/>
        </w:rPr>
        <w:t xml:space="preserve">Chromosoma </w:t>
      </w:r>
      <w:r>
        <w:rPr>
          <w:b/>
        </w:rPr>
        <w:t>70</w:t>
      </w:r>
      <w:r>
        <w:t>:277–291.</w:t>
      </w:r>
    </w:p>
    <w:p w:rsidR="00DB17CE" w:rsidRDefault="006265B5">
      <w:pPr>
        <w:numPr>
          <w:ilvl w:val="0"/>
          <w:numId w:val="3"/>
        </w:numPr>
        <w:ind w:hanging="354"/>
      </w:pPr>
      <w:r>
        <w:t xml:space="preserve">Livolant F, Bouligand, Y. 1978. New observations on the twisted arrangement of dinoflagellate chromosomes. </w:t>
      </w:r>
      <w:r>
        <w:rPr>
          <w:i/>
        </w:rPr>
        <w:t xml:space="preserve">Chromosoma </w:t>
      </w:r>
      <w:r>
        <w:rPr>
          <w:b/>
        </w:rPr>
        <w:t>68</w:t>
      </w:r>
      <w:r>
        <w:t>:21–44.</w:t>
      </w:r>
    </w:p>
    <w:p w:rsidR="00DB17CE" w:rsidRDefault="006265B5">
      <w:pPr>
        <w:numPr>
          <w:ilvl w:val="0"/>
          <w:numId w:val="3"/>
        </w:numPr>
        <w:spacing w:after="51"/>
        <w:ind w:hanging="354"/>
      </w:pPr>
      <w:r>
        <w:t xml:space="preserve">Levi-Setti R, Gavrilov KL, Rizzo PJ. 2008. Divalent cation distribution in dinoflagellate chromosomes imaged by high-resolution ion probe mass spectrometry. </w:t>
      </w:r>
      <w:r>
        <w:rPr>
          <w:i/>
        </w:rPr>
        <w:t xml:space="preserve">Eur J Cell Biol </w:t>
      </w:r>
      <w:r>
        <w:rPr>
          <w:b/>
        </w:rPr>
        <w:t>87</w:t>
      </w:r>
      <w:r>
        <w:t>(12):963–976.</w:t>
      </w:r>
    </w:p>
    <w:p w:rsidR="00DB17CE" w:rsidRDefault="006265B5">
      <w:pPr>
        <w:numPr>
          <w:ilvl w:val="0"/>
          <w:numId w:val="3"/>
        </w:numPr>
        <w:ind w:hanging="354"/>
      </w:pPr>
      <w:r>
        <w:t>Spector DL, Triemer RE. 1981. Chromosome structure and mitosis in t</w:t>
      </w:r>
      <w:r>
        <w:t xml:space="preserve">he dinoflagellates: an ultrastructural </w:t>
      </w:r>
      <w:r>
        <w:t xml:space="preserve">approach to an evolutionary problem. </w:t>
      </w:r>
      <w:r>
        <w:rPr>
          <w:i/>
        </w:rPr>
        <w:t xml:space="preserve">Biosystems </w:t>
      </w:r>
      <w:r>
        <w:rPr>
          <w:b/>
        </w:rPr>
        <w:t>14</w:t>
      </w:r>
      <w:r>
        <w:t>(3–4):289–298.</w:t>
      </w:r>
    </w:p>
    <w:p w:rsidR="00DB17CE" w:rsidRDefault="006265B5">
      <w:pPr>
        <w:numPr>
          <w:ilvl w:val="0"/>
          <w:numId w:val="3"/>
        </w:numPr>
        <w:spacing w:after="3"/>
        <w:ind w:hanging="354"/>
      </w:pPr>
      <w:r>
        <w:t>Le TB, Imakaev MV, Mirny LA, Laub MT. 2013.</w:t>
      </w:r>
    </w:p>
    <w:p w:rsidR="00DB17CE" w:rsidRDefault="006265B5">
      <w:pPr>
        <w:ind w:left="364"/>
      </w:pPr>
      <w:r>
        <w:t xml:space="preserve">High-resolution mapping of the spatial organization of a bacterial chromosome. </w:t>
      </w:r>
      <w:r>
        <w:rPr>
          <w:i/>
        </w:rPr>
        <w:t xml:space="preserve">Science </w:t>
      </w:r>
      <w:r>
        <w:rPr>
          <w:b/>
        </w:rPr>
        <w:t>342</w:t>
      </w:r>
      <w:r>
        <w:t>(6159):731–734.</w:t>
      </w:r>
    </w:p>
    <w:p w:rsidR="00DB17CE" w:rsidRDefault="006265B5">
      <w:pPr>
        <w:numPr>
          <w:ilvl w:val="0"/>
          <w:numId w:val="3"/>
        </w:numPr>
        <w:ind w:hanging="354"/>
      </w:pPr>
      <w:r>
        <w:t>Be</w:t>
      </w:r>
      <w:r>
        <w:t xml:space="preserve">nedetti F, Racko D, Dorier J, Burnier Y, Stasiak A. 2017. Transcription-induced supercoiling explains formation of self-interacting chromatin domains in </w:t>
      </w:r>
      <w:r>
        <w:rPr>
          <w:i/>
        </w:rPr>
        <w:t>S.</w:t>
      </w:r>
    </w:p>
    <w:p w:rsidR="00DB17CE" w:rsidRDefault="006265B5">
      <w:pPr>
        <w:spacing w:after="28" w:line="259" w:lineRule="auto"/>
        <w:ind w:left="464"/>
        <w:jc w:val="left"/>
      </w:pPr>
      <w:r>
        <w:rPr>
          <w:i/>
        </w:rPr>
        <w:t>pombe</w:t>
      </w:r>
      <w:r>
        <w:t xml:space="preserve">. </w:t>
      </w:r>
      <w:r>
        <w:rPr>
          <w:i/>
        </w:rPr>
        <w:t xml:space="preserve">Nucleic Acids Res </w:t>
      </w:r>
      <w:r>
        <w:rPr>
          <w:b/>
        </w:rPr>
        <w:t>45</w:t>
      </w:r>
      <w:r>
        <w:t>(17):9850–9859.</w:t>
      </w:r>
    </w:p>
    <w:p w:rsidR="00DB17CE" w:rsidRDefault="006265B5">
      <w:pPr>
        <w:numPr>
          <w:ilvl w:val="0"/>
          <w:numId w:val="3"/>
        </w:numPr>
        <w:ind w:hanging="354"/>
      </w:pPr>
      <w:r>
        <w:t>Wu HY, Shyy SH, Wang JC, Liu LF. 1988. Transcription gene</w:t>
      </w:r>
      <w:r>
        <w:t xml:space="preserve">rates positively and negatively supercoiled domains in the template. </w:t>
      </w:r>
      <w:r>
        <w:rPr>
          <w:i/>
        </w:rPr>
        <w:t xml:space="preserve">Cell </w:t>
      </w:r>
      <w:r>
        <w:rPr>
          <w:b/>
        </w:rPr>
        <w:t>53</w:t>
      </w:r>
      <w:r>
        <w:t>(3):433–440.</w:t>
      </w:r>
    </w:p>
    <w:p w:rsidR="00DB17CE" w:rsidRDefault="006265B5">
      <w:pPr>
        <w:numPr>
          <w:ilvl w:val="0"/>
          <w:numId w:val="3"/>
        </w:numPr>
        <w:ind w:hanging="354"/>
      </w:pPr>
      <w:r>
        <w:t xml:space="preserve">Teves SS, Henikoff S. 2014. DNA torsion as a feedback mediator of transcription and chromatin dynamics. </w:t>
      </w:r>
      <w:r>
        <w:rPr>
          <w:i/>
        </w:rPr>
        <w:t xml:space="preserve">Nucleus </w:t>
      </w:r>
      <w:r>
        <w:rPr>
          <w:b/>
        </w:rPr>
        <w:t>5</w:t>
      </w:r>
      <w:r>
        <w:t>(3):211–218.</w:t>
      </w:r>
    </w:p>
    <w:p w:rsidR="00DB17CE" w:rsidRDefault="006265B5">
      <w:pPr>
        <w:numPr>
          <w:ilvl w:val="0"/>
          <w:numId w:val="3"/>
        </w:numPr>
        <w:ind w:hanging="354"/>
      </w:pPr>
      <w:r>
        <w:t xml:space="preserve">Levin RA, Beltran VH, Hill R, Kjelleberg </w:t>
      </w:r>
      <w:r>
        <w:t xml:space="preserve">S, McDougald D, Steinberg PD, van Oppen MJ. 2016. Sex, Scavengers, and Chaperones: Transcriptome Secrets of Divergent Symbiodinium Thermal Tolerances. </w:t>
      </w:r>
      <w:r>
        <w:rPr>
          <w:i/>
        </w:rPr>
        <w:t xml:space="preserve">Mol Biol Evol </w:t>
      </w:r>
      <w:r>
        <w:rPr>
          <w:b/>
        </w:rPr>
        <w:t>33</w:t>
      </w:r>
      <w:r>
        <w:t>(9):2201–2215.</w:t>
      </w:r>
    </w:p>
    <w:p w:rsidR="00DB17CE" w:rsidRDefault="006265B5">
      <w:pPr>
        <w:numPr>
          <w:ilvl w:val="0"/>
          <w:numId w:val="3"/>
        </w:numPr>
        <w:ind w:hanging="354"/>
      </w:pPr>
      <w:r>
        <w:t>Bensaude O. 2011. Inhibiting eukaryotic transcription: Which compound to c</w:t>
      </w:r>
      <w:r>
        <w:t xml:space="preserve">hoose? How to evaluate its activity? </w:t>
      </w:r>
      <w:r>
        <w:rPr>
          <w:i/>
        </w:rPr>
        <w:t xml:space="preserve">Transcription </w:t>
      </w:r>
      <w:r>
        <w:rPr>
          <w:b/>
        </w:rPr>
        <w:t>2</w:t>
      </w:r>
      <w:r>
        <w:t>(3):103–108.</w:t>
      </w:r>
    </w:p>
    <w:p w:rsidR="00DB17CE" w:rsidRDefault="006265B5">
      <w:pPr>
        <w:numPr>
          <w:ilvl w:val="0"/>
          <w:numId w:val="3"/>
        </w:numPr>
        <w:ind w:hanging="354"/>
      </w:pPr>
      <w:r>
        <w:t xml:space="preserve">Pommier Y, Sun Y, Huang SN, Nitiss JL. 2016. Roles of eukaryotic topoisomerases in transcription, replication and genomic stability. </w:t>
      </w:r>
      <w:r>
        <w:rPr>
          <w:i/>
        </w:rPr>
        <w:t xml:space="preserve">Nat Rev Mol Cell Biol </w:t>
      </w:r>
      <w:r>
        <w:rPr>
          <w:b/>
        </w:rPr>
        <w:t>17</w:t>
      </w:r>
      <w:r>
        <w:t>(11):703–721.</w:t>
      </w:r>
    </w:p>
    <w:p w:rsidR="00DB17CE" w:rsidRDefault="006265B5">
      <w:pPr>
        <w:numPr>
          <w:ilvl w:val="0"/>
          <w:numId w:val="3"/>
        </w:numPr>
        <w:ind w:hanging="354"/>
      </w:pPr>
      <w:r>
        <w:t>Xiang T, Hambleton E</w:t>
      </w:r>
      <w:r>
        <w:t xml:space="preserve">A, DeNofrio JC, Pringle JR, Grossman AR. 2013. Isolation of clonal axenic strains of the symbiotic dinoflagellate </w:t>
      </w:r>
      <w:r>
        <w:rPr>
          <w:i/>
        </w:rPr>
        <w:t xml:space="preserve">Symbiodinium </w:t>
      </w:r>
      <w:r>
        <w:t xml:space="preserve">and their growth and host specificity. </w:t>
      </w:r>
      <w:r>
        <w:rPr>
          <w:i/>
        </w:rPr>
        <w:t xml:space="preserve">J Phycol </w:t>
      </w:r>
      <w:r>
        <w:rPr>
          <w:b/>
        </w:rPr>
        <w:t>49</w:t>
      </w:r>
      <w:r>
        <w:t>(3):447–458.</w:t>
      </w:r>
    </w:p>
    <w:p w:rsidR="00DB17CE" w:rsidRDefault="006265B5">
      <w:pPr>
        <w:numPr>
          <w:ilvl w:val="0"/>
          <w:numId w:val="3"/>
        </w:numPr>
        <w:ind w:hanging="354"/>
      </w:pPr>
      <w:r>
        <w:t xml:space="preserve">Xiang T, Nelson W, Rodriguez J, Tolleter D, Grossman AR. 2015. </w:t>
      </w:r>
      <w:r>
        <w:rPr>
          <w:i/>
        </w:rPr>
        <w:t>Sym</w:t>
      </w:r>
      <w:r>
        <w:rPr>
          <w:i/>
        </w:rPr>
        <w:t xml:space="preserve">biodinium </w:t>
      </w:r>
      <w:r>
        <w:t xml:space="preserve">transcriptome and global responses of cells to immediate changes in light intensity when grown under autotrophic or mixotrophic conditions. </w:t>
      </w:r>
      <w:r>
        <w:rPr>
          <w:i/>
        </w:rPr>
        <w:t xml:space="preserve">Plant J </w:t>
      </w:r>
      <w:r>
        <w:rPr>
          <w:b/>
        </w:rPr>
        <w:t>82</w:t>
      </w:r>
      <w:r>
        <w:t>(1):67–80.</w:t>
      </w:r>
    </w:p>
    <w:p w:rsidR="00DB17CE" w:rsidRDefault="006265B5">
      <w:pPr>
        <w:numPr>
          <w:ilvl w:val="0"/>
          <w:numId w:val="3"/>
        </w:numPr>
        <w:ind w:hanging="354"/>
      </w:pPr>
      <w:r>
        <w:t>Mumbach MR, Rubin AJ, Flynn RA, Dai C, Khavari PA, Greenleaf WJ, Chang HY. 2016. HiCh</w:t>
      </w:r>
      <w:r>
        <w:t xml:space="preserve">IP: efficient and sensitive analysis of protein-directed genome architecture. </w:t>
      </w:r>
      <w:r>
        <w:rPr>
          <w:i/>
        </w:rPr>
        <w:t xml:space="preserve">Nat Methods </w:t>
      </w:r>
      <w:r>
        <w:rPr>
          <w:b/>
        </w:rPr>
        <w:t>13</w:t>
      </w:r>
      <w:r>
        <w:t>(11):919–922.</w:t>
      </w:r>
    </w:p>
    <w:p w:rsidR="00DB17CE" w:rsidRDefault="006265B5">
      <w:pPr>
        <w:numPr>
          <w:ilvl w:val="0"/>
          <w:numId w:val="3"/>
        </w:numPr>
        <w:ind w:hanging="354"/>
      </w:pPr>
      <w:r>
        <w:t xml:space="preserve">Durand NC, Shamim MS, Machol I, Rao SS, Huntley MH, Lander ES, Aiden EL. 2016. Juicer Provides a One-Click System for Analyzing Loop-Resolution HiC Experiments. </w:t>
      </w:r>
      <w:r>
        <w:rPr>
          <w:i/>
        </w:rPr>
        <w:t xml:space="preserve">Cell Syst </w:t>
      </w:r>
      <w:r>
        <w:rPr>
          <w:b/>
        </w:rPr>
        <w:t>3</w:t>
      </w:r>
      <w:r>
        <w:t>(1):95–98.</w:t>
      </w:r>
    </w:p>
    <w:p w:rsidR="00DB17CE" w:rsidRDefault="006265B5">
      <w:pPr>
        <w:numPr>
          <w:ilvl w:val="0"/>
          <w:numId w:val="3"/>
        </w:numPr>
        <w:ind w:hanging="354"/>
      </w:pPr>
      <w:r>
        <w:t>Dobin A, Davis CA, Schlesinger F, Drenkow J, Zaleski C, Jha S, Batut P, C</w:t>
      </w:r>
      <w:r>
        <w:t xml:space="preserve">haisson M, Gingeras TR. 2013. STAR: ultrafast universal RNA-seq aligner. </w:t>
      </w:r>
      <w:r>
        <w:rPr>
          <w:i/>
        </w:rPr>
        <w:t xml:space="preserve">Bioinformatics </w:t>
      </w:r>
      <w:r>
        <w:rPr>
          <w:b/>
        </w:rPr>
        <w:t>29</w:t>
      </w:r>
      <w:r>
        <w:t>(1):15–21.</w:t>
      </w:r>
    </w:p>
    <w:p w:rsidR="00DB17CE" w:rsidRDefault="006265B5">
      <w:pPr>
        <w:numPr>
          <w:ilvl w:val="0"/>
          <w:numId w:val="3"/>
        </w:numPr>
        <w:ind w:hanging="354"/>
      </w:pPr>
      <w:r>
        <w:t>Pertea M, Pertea GM, Antonescu CM, Chang TC, Mendell JT, Salzberg SL. 2015. StringTie enables improved reconstruction of a transcriptome from RNAseq reads.</w:t>
      </w:r>
      <w:r>
        <w:t xml:space="preserve"> </w:t>
      </w:r>
      <w:r>
        <w:rPr>
          <w:i/>
        </w:rPr>
        <w:t xml:space="preserve">Nat Biotechnol </w:t>
      </w:r>
      <w:r>
        <w:rPr>
          <w:b/>
        </w:rPr>
        <w:t>33</w:t>
      </w:r>
      <w:r>
        <w:t>(3):290-295.</w:t>
      </w:r>
    </w:p>
    <w:p w:rsidR="00DB17CE" w:rsidRDefault="006265B5">
      <w:pPr>
        <w:numPr>
          <w:ilvl w:val="0"/>
          <w:numId w:val="3"/>
        </w:numPr>
        <w:ind w:hanging="354"/>
      </w:pPr>
      <w:r>
        <w:lastRenderedPageBreak/>
        <w:t xml:space="preserve">Eddy SR. 2011. Accelerated Profile HMM Searches. </w:t>
      </w:r>
      <w:r>
        <w:rPr>
          <w:i/>
        </w:rPr>
        <w:t xml:space="preserve">PLoS Comput Biol </w:t>
      </w:r>
      <w:r>
        <w:rPr>
          <w:b/>
        </w:rPr>
        <w:t>7</w:t>
      </w:r>
      <w:r>
        <w:t>(10):e1002195.</w:t>
      </w:r>
    </w:p>
    <w:p w:rsidR="00DB17CE" w:rsidRDefault="006265B5">
      <w:pPr>
        <w:numPr>
          <w:ilvl w:val="0"/>
          <w:numId w:val="3"/>
        </w:numPr>
        <w:ind w:hanging="354"/>
      </w:pPr>
      <w:r>
        <w:t xml:space="preserve">Finn RD, Bateman A, Clements J, Coggill P, Eberhardt RY, Eddy SR, Heger A, Hetherington K, Holm L, Mistry J, Sonnhammer EL, Tate J, Punta M. 2014. Pfam: the protein families database. </w:t>
      </w:r>
      <w:r>
        <w:rPr>
          <w:i/>
        </w:rPr>
        <w:t xml:space="preserve">Nucleic Acids Res </w:t>
      </w:r>
      <w:r>
        <w:rPr>
          <w:b/>
        </w:rPr>
        <w:t>42</w:t>
      </w:r>
      <w:r>
        <w:t>(Database issue):D222–230.</w:t>
      </w:r>
    </w:p>
    <w:p w:rsidR="00DB17CE" w:rsidRDefault="00DB17CE">
      <w:pPr>
        <w:sectPr w:rsidR="00DB17CE">
          <w:type w:val="continuous"/>
          <w:pgSz w:w="12240" w:h="15840"/>
          <w:pgMar w:top="1195" w:right="850" w:bottom="1070" w:left="850" w:header="720" w:footer="720" w:gutter="0"/>
          <w:cols w:num="2" w:space="299"/>
        </w:sectPr>
      </w:pPr>
    </w:p>
    <w:p w:rsidR="00DB17CE" w:rsidRDefault="006265B5">
      <w:pPr>
        <w:pStyle w:val="Heading1"/>
        <w:spacing w:after="140" w:line="259" w:lineRule="auto"/>
        <w:ind w:left="0" w:firstLine="0"/>
        <w:jc w:val="left"/>
      </w:pPr>
      <w:r>
        <w:rPr>
          <w:sz w:val="34"/>
        </w:rPr>
        <w:lastRenderedPageBreak/>
        <w:t>Supplemen</w:t>
      </w:r>
      <w:r>
        <w:rPr>
          <w:sz w:val="34"/>
        </w:rPr>
        <w:t>tary Materials</w:t>
      </w:r>
    </w:p>
    <w:p w:rsidR="00DB17CE" w:rsidRDefault="006265B5">
      <w:pPr>
        <w:pStyle w:val="Heading2"/>
      </w:pPr>
      <w:r>
        <w:t>Supplementary Methods</w:t>
      </w:r>
    </w:p>
    <w:p w:rsidR="00DB17CE" w:rsidRDefault="00DB17CE">
      <w:pPr>
        <w:sectPr w:rsidR="00DB17CE">
          <w:headerReference w:type="even" r:id="rId15"/>
          <w:headerReference w:type="default" r:id="rId16"/>
          <w:footerReference w:type="even" r:id="rId17"/>
          <w:footerReference w:type="default" r:id="rId18"/>
          <w:headerReference w:type="first" r:id="rId19"/>
          <w:footerReference w:type="first" r:id="rId20"/>
          <w:pgSz w:w="12240" w:h="15840"/>
          <w:pgMar w:top="1134" w:right="3981" w:bottom="1090" w:left="3981" w:header="720" w:footer="497" w:gutter="0"/>
          <w:pgNumType w:start="1"/>
          <w:cols w:space="720"/>
        </w:sectPr>
      </w:pPr>
    </w:p>
    <w:p w:rsidR="00DB17CE" w:rsidRDefault="006265B5">
      <w:pPr>
        <w:spacing w:after="451"/>
        <w:ind w:left="-15" w:firstLine="299"/>
      </w:pPr>
      <w:r>
        <w:t>Except where otherwise stated, computational analyses were carried out using custom-written Python scrip</w:t>
      </w:r>
      <w:r>
        <w:t>ts.</w:t>
      </w:r>
    </w:p>
    <w:p w:rsidR="00DB17CE" w:rsidRDefault="006265B5">
      <w:pPr>
        <w:pStyle w:val="Heading3"/>
        <w:spacing w:after="194"/>
        <w:ind w:left="10" w:right="0"/>
      </w:pPr>
      <w:r>
        <w:rPr>
          <w:rFonts w:ascii="Calibri" w:eastAsia="Calibri" w:hAnsi="Calibri" w:cs="Calibri"/>
          <w:b w:val="0"/>
          <w:i/>
        </w:rPr>
        <w:t xml:space="preserve">B. minutum </w:t>
      </w:r>
      <w:r>
        <w:t>cell culture</w:t>
      </w:r>
    </w:p>
    <w:p w:rsidR="00DB17CE" w:rsidRDefault="006265B5">
      <w:pPr>
        <w:spacing w:after="424"/>
        <w:ind w:left="-5"/>
      </w:pPr>
      <w:r>
        <w:t xml:space="preserve">The clonal axenic </w:t>
      </w:r>
      <w:r>
        <w:rPr>
          <w:i/>
        </w:rPr>
        <w:t>Symbiodinium</w:t>
      </w:r>
      <w:r>
        <w:t>/</w:t>
      </w:r>
      <w:r>
        <w:rPr>
          <w:i/>
        </w:rPr>
        <w:t xml:space="preserve">Breviolum minutum </w:t>
      </w:r>
      <w:r>
        <w:t xml:space="preserve">strain SSB01 was used in all experiments. Stock cultures were grown as previously described(35, 36) in Daigo’s IMK medium for marine microalgae (Wako Pure Chemicals) supplemented </w:t>
      </w:r>
      <w:r>
        <w:t>with casein hydrolysate (IMK+Cas) at 27</w:t>
      </w:r>
      <w:r>
        <w:rPr>
          <w:vertAlign w:val="superscript"/>
        </w:rPr>
        <w:t>◦</w:t>
      </w:r>
      <w:r>
        <w:t xml:space="preserve">C at a light intensity of 10 </w:t>
      </w:r>
      <w:r>
        <w:rPr>
          <w:i/>
        </w:rPr>
        <w:t>µ</w:t>
      </w:r>
      <w:r>
        <w:t>mol photons m</w:t>
      </w:r>
      <w:r>
        <w:rPr>
          <w:vertAlign w:val="superscript"/>
        </w:rPr>
        <w:t xml:space="preserve">2 </w:t>
      </w:r>
      <w:r>
        <w:t>s</w:t>
      </w:r>
      <w:r>
        <w:rPr>
          <w:vertAlign w:val="superscript"/>
        </w:rPr>
        <w:t xml:space="preserve">1 </w:t>
      </w:r>
      <w:r>
        <w:t>from Philips ALTO II 25-W bulbs on a 12-h-light:12-h-dark cycle. The medium was prepared in artificial seawater (ASW).</w:t>
      </w:r>
    </w:p>
    <w:p w:rsidR="00DB17CE" w:rsidRDefault="006265B5">
      <w:pPr>
        <w:pStyle w:val="Heading3"/>
        <w:spacing w:after="193"/>
        <w:ind w:left="10" w:right="0"/>
      </w:pPr>
      <w:r>
        <w:t>Transcription inhibition experiments</w:t>
      </w:r>
    </w:p>
    <w:p w:rsidR="00DB17CE" w:rsidRDefault="006265B5">
      <w:pPr>
        <w:ind w:left="-5"/>
      </w:pPr>
      <w:r>
        <w:t xml:space="preserve">For </w:t>
      </w:r>
      <w:r>
        <w:rPr>
          <w:i/>
        </w:rPr>
        <w:t>α</w:t>
      </w:r>
      <w:r>
        <w:t xml:space="preserve">-amanitin treatment, </w:t>
      </w:r>
      <w:r>
        <w:rPr>
          <w:i/>
        </w:rPr>
        <w:t xml:space="preserve">Breviolum minutum </w:t>
      </w:r>
      <w:r>
        <w:t xml:space="preserve">cells at a density of </w:t>
      </w:r>
      <w:r>
        <w:t>∼</w:t>
      </w:r>
      <w:r>
        <w:t xml:space="preserve">1 </w:t>
      </w:r>
      <w:r>
        <w:t>×</w:t>
      </w:r>
      <w:r>
        <w:t>10</w:t>
      </w:r>
      <w:r>
        <w:rPr>
          <w:vertAlign w:val="superscript"/>
        </w:rPr>
        <w:t xml:space="preserve">6 </w:t>
      </w:r>
      <w:r>
        <w:t xml:space="preserve">cells/mL were treated with </w:t>
      </w:r>
      <w:r>
        <w:rPr>
          <w:i/>
        </w:rPr>
        <w:t>α</w:t>
      </w:r>
      <w:r>
        <w:t xml:space="preserve">-amanitin (Sigma-Aldrich, Cat # A2263) at concentrations of 1 </w:t>
      </w:r>
      <w:r>
        <w:rPr>
          <w:i/>
        </w:rPr>
        <w:t>µ</w:t>
      </w:r>
      <w:r>
        <w:t xml:space="preserve">g/mL (“normal” dose) and 4 </w:t>
      </w:r>
      <w:r>
        <w:rPr>
          <w:i/>
        </w:rPr>
        <w:t>µ</w:t>
      </w:r>
      <w:r>
        <w:t>g/mL (”high”) dose.</w:t>
      </w:r>
    </w:p>
    <w:p w:rsidR="00DB17CE" w:rsidRDefault="006265B5">
      <w:pPr>
        <w:ind w:left="-15" w:firstLine="299"/>
      </w:pPr>
      <w:r>
        <w:t>Samples were harvested at 0, 24, and 48 hours af</w:t>
      </w:r>
      <w:r>
        <w:t>ter treatment.</w:t>
      </w:r>
    </w:p>
    <w:p w:rsidR="00DB17CE" w:rsidRDefault="006265B5">
      <w:pPr>
        <w:ind w:left="-15" w:firstLine="299"/>
      </w:pPr>
      <w:r>
        <w:t xml:space="preserve">For triptolide treatment, </w:t>
      </w:r>
      <w:r>
        <w:rPr>
          <w:i/>
        </w:rPr>
        <w:t xml:space="preserve">Breviolum minutum </w:t>
      </w:r>
      <w:r>
        <w:t xml:space="preserve">cells at a density of </w:t>
      </w:r>
      <w:r>
        <w:t>∼</w:t>
      </w:r>
      <w:r>
        <w:t xml:space="preserve">1 </w:t>
      </w:r>
      <w:r>
        <w:t>×</w:t>
      </w:r>
      <w:r>
        <w:t>10</w:t>
      </w:r>
      <w:r>
        <w:rPr>
          <w:vertAlign w:val="superscript"/>
        </w:rPr>
        <w:t xml:space="preserve">6 </w:t>
      </w:r>
      <w:r>
        <w:t xml:space="preserve">cells/mL were treated with triptolide (Sigma-Aldrich, Cat # T3652) at concentrations of 10 </w:t>
      </w:r>
      <w:r>
        <w:rPr>
          <w:i/>
        </w:rPr>
        <w:t>µ</w:t>
      </w:r>
      <w:r>
        <w:t xml:space="preserve">M (“normal” dose) and 40 </w:t>
      </w:r>
      <w:r>
        <w:rPr>
          <w:i/>
        </w:rPr>
        <w:t>µ</w:t>
      </w:r>
      <w:r>
        <w:t>M (”high”) dose.</w:t>
      </w:r>
    </w:p>
    <w:p w:rsidR="00DB17CE" w:rsidRDefault="006265B5">
      <w:pPr>
        <w:spacing w:after="427"/>
        <w:ind w:left="-15" w:firstLine="299"/>
      </w:pPr>
      <w:r>
        <w:t>Samples were harvested fat 0, 8, 24 and 48 hours after treatment.</w:t>
      </w:r>
    </w:p>
    <w:p w:rsidR="00DB17CE" w:rsidRDefault="006265B5">
      <w:pPr>
        <w:pStyle w:val="Heading3"/>
        <w:spacing w:after="169"/>
        <w:ind w:left="10" w:right="0"/>
      </w:pPr>
      <w:r>
        <w:t>Cell viability measurements</w:t>
      </w:r>
    </w:p>
    <w:p w:rsidR="00DB17CE" w:rsidRDefault="006265B5">
      <w:pPr>
        <w:spacing w:after="193" w:line="259" w:lineRule="auto"/>
        <w:ind w:left="-5"/>
        <w:jc w:val="left"/>
      </w:pPr>
      <w:r>
        <w:rPr>
          <w:i/>
        </w:rPr>
        <w:t>Photosynthetic activity</w:t>
      </w:r>
    </w:p>
    <w:p w:rsidR="00DB17CE" w:rsidRDefault="006265B5">
      <w:pPr>
        <w:spacing w:after="422"/>
        <w:ind w:left="-5"/>
      </w:pPr>
      <w:r>
        <w:t xml:space="preserve">Maximum quantum yields of photosystem II, </w:t>
      </w:r>
      <w:r>
        <w:rPr>
          <w:i/>
        </w:rPr>
        <w:t xml:space="preserve">Fv/Fm </w:t>
      </w:r>
      <w:r>
        <w:t>= (</w:t>
      </w:r>
      <w:r>
        <w:rPr>
          <w:i/>
        </w:rPr>
        <w:t>Fm</w:t>
      </w:r>
      <w:r>
        <w:t>−</w:t>
      </w:r>
      <w:r>
        <w:rPr>
          <w:i/>
        </w:rPr>
        <w:t>F</w:t>
      </w:r>
      <w:r>
        <w:t>0)</w:t>
      </w:r>
      <w:r>
        <w:rPr>
          <w:i/>
        </w:rPr>
        <w:t xml:space="preserve">/Fm </w:t>
      </w:r>
      <w:r>
        <w:t>was used to indicate photosynthetic function. S. minutum cultures (approximat</w:t>
      </w:r>
      <w:r>
        <w:t>ely 10</w:t>
      </w:r>
      <w:r>
        <w:rPr>
          <w:vertAlign w:val="superscript"/>
        </w:rPr>
        <w:t xml:space="preserve">6 </w:t>
      </w:r>
      <w:r>
        <w:t xml:space="preserve">cells/mL) were collected and dark adapted for 5 min, and </w:t>
      </w:r>
      <w:r>
        <w:rPr>
          <w:i/>
        </w:rPr>
        <w:t xml:space="preserve">Fv/Fm </w:t>
      </w:r>
      <w:r>
        <w:t>was determined using a Dual Pam-100 fluorometer (Heinz Walz).</w:t>
      </w:r>
    </w:p>
    <w:p w:rsidR="00DB17CE" w:rsidRDefault="006265B5">
      <w:pPr>
        <w:spacing w:after="169" w:line="259" w:lineRule="auto"/>
        <w:ind w:left="-5"/>
        <w:jc w:val="left"/>
      </w:pPr>
      <w:r>
        <w:rPr>
          <w:i/>
        </w:rPr>
        <w:t>Colony formation assay</w:t>
      </w:r>
    </w:p>
    <w:p w:rsidR="00DB17CE" w:rsidRDefault="006265B5">
      <w:pPr>
        <w:ind w:left="-5"/>
      </w:pPr>
      <w:r>
        <w:t xml:space="preserve">Fresh SSB01 cells were sampled at 0, 24 and 48 hours after the treatment of transcription inhibitor </w:t>
      </w:r>
      <w:r>
        <w:rPr>
          <w:i/>
        </w:rPr>
        <w:t>α</w:t>
      </w:r>
      <w:r>
        <w:t xml:space="preserve">-amanitin. For each condition, cell suspensions were diluted 1:5 and 1:10 before plating 1 </w:t>
      </w:r>
      <w:r>
        <w:rPr>
          <w:i/>
        </w:rPr>
        <w:t>µ</w:t>
      </w:r>
      <w:r>
        <w:t>L of each dilution on marine broth (BD) agar plates. Plates were incubated at 27</w:t>
      </w:r>
      <w:r>
        <w:rPr>
          <w:vertAlign w:val="superscript"/>
        </w:rPr>
        <w:t>◦</w:t>
      </w:r>
      <w:r>
        <w:t xml:space="preserve">C at a light intensity of 10 </w:t>
      </w:r>
      <w:r>
        <w:rPr>
          <w:i/>
        </w:rPr>
        <w:t>µ</w:t>
      </w:r>
      <w:r>
        <w:t>mol photons m</w:t>
      </w:r>
      <w:r>
        <w:rPr>
          <w:vertAlign w:val="superscript"/>
        </w:rPr>
        <w:t xml:space="preserve">2 </w:t>
      </w:r>
      <w:r>
        <w:t>s</w:t>
      </w:r>
      <w:r>
        <w:rPr>
          <w:vertAlign w:val="superscript"/>
        </w:rPr>
        <w:t>1</w:t>
      </w:r>
      <w:r>
        <w:t>. Cell numbers on each plate were c</w:t>
      </w:r>
      <w:r>
        <w:t>ounted after three weeks.</w:t>
      </w:r>
    </w:p>
    <w:p w:rsidR="00DB17CE" w:rsidRDefault="006265B5">
      <w:pPr>
        <w:pStyle w:val="Heading3"/>
        <w:spacing w:after="158"/>
        <w:ind w:left="10" w:right="0"/>
      </w:pPr>
      <w:r>
        <w:t>Hi-C experiments</w:t>
      </w:r>
    </w:p>
    <w:p w:rsidR="00DB17CE" w:rsidRDefault="006265B5">
      <w:pPr>
        <w:ind w:left="-5"/>
      </w:pPr>
      <w:r>
        <w:t xml:space="preserve">The in situ Hi-C procedure used to map 3D genomic interactions in </w:t>
      </w:r>
      <w:r>
        <w:rPr>
          <w:i/>
        </w:rPr>
        <w:t xml:space="preserve">Symbiodinium </w:t>
      </w:r>
      <w:r>
        <w:t>was adapted from previous studies(4, 37) as follows:</w:t>
      </w:r>
    </w:p>
    <w:p w:rsidR="00DB17CE" w:rsidRDefault="006265B5">
      <w:pPr>
        <w:spacing w:after="64"/>
        <w:ind w:left="-15" w:firstLine="299"/>
      </w:pPr>
      <w:r>
        <w:rPr>
          <w:i/>
        </w:rPr>
        <w:t xml:space="preserve">Symbiodinium minutum </w:t>
      </w:r>
      <w:r>
        <w:t>SSBO1 cells were first crosslinked using 37% formaldehyde (S</w:t>
      </w:r>
      <w:r>
        <w:t xml:space="preserve">igma) at a final concentration of 1% for 15 minutes at room temperature. Formaldehyde was then quenched using 2.5 M Glycine at a final concentration of 0.25 M. Cells were subsequently centrifuged at 2,000 </w:t>
      </w:r>
      <w:r>
        <w:rPr>
          <w:i/>
        </w:rPr>
        <w:t xml:space="preserve">g </w:t>
      </w:r>
      <w:r>
        <w:t>for 5 minutes, washed once in 1</w:t>
      </w:r>
      <w:r>
        <w:t xml:space="preserve">× </w:t>
      </w:r>
      <w:r>
        <w:t xml:space="preserve">PBS, and stored </w:t>
      </w:r>
      <w:r>
        <w:t>at -80</w:t>
      </w:r>
      <w:r>
        <w:rPr>
          <w:vertAlign w:val="superscript"/>
        </w:rPr>
        <w:t>◦</w:t>
      </w:r>
      <w:r>
        <w:t>C.</w:t>
      </w:r>
    </w:p>
    <w:p w:rsidR="00DB17CE" w:rsidRDefault="006265B5">
      <w:pPr>
        <w:spacing w:after="61"/>
        <w:ind w:left="-15" w:firstLine="299"/>
      </w:pPr>
      <w:r>
        <w:t xml:space="preserve">Cell lysis was initiated by incubation with 250 </w:t>
      </w:r>
      <w:r>
        <w:rPr>
          <w:i/>
        </w:rPr>
        <w:t>µ</w:t>
      </w:r>
      <w:r>
        <w:t xml:space="preserve">L of cold Hi-C Lysis Buffer (10 mM Tris-HCl pH 8.0, 10 mM NaCl, 0.2% Igepal CA630) on ice for 15 minutes, followed by centrifugation at 2,500 </w:t>
      </w:r>
      <w:r>
        <w:rPr>
          <w:i/>
        </w:rPr>
        <w:t xml:space="preserve">g </w:t>
      </w:r>
      <w:r>
        <w:t xml:space="preserve">for 5 minutes, a wash with 500 </w:t>
      </w:r>
      <w:r>
        <w:rPr>
          <w:i/>
        </w:rPr>
        <w:t>µ</w:t>
      </w:r>
      <w:r>
        <w:t xml:space="preserve">L of cold Hi-C Lysis </w:t>
      </w:r>
      <w:r>
        <w:t xml:space="preserve">Buffer, and centrifugation at 2,500 </w:t>
      </w:r>
      <w:r>
        <w:rPr>
          <w:i/>
        </w:rPr>
        <w:t xml:space="preserve">g </w:t>
      </w:r>
      <w:r>
        <w:t xml:space="preserve">for 5 minutes. The pellet was the resuspended in 50 </w:t>
      </w:r>
      <w:r>
        <w:rPr>
          <w:i/>
        </w:rPr>
        <w:t>µ</w:t>
      </w:r>
      <w:r>
        <w:t>L of 0.5% SDS and incubated at 62</w:t>
      </w:r>
      <w:r>
        <w:rPr>
          <w:vertAlign w:val="superscript"/>
        </w:rPr>
        <w:t>◦</w:t>
      </w:r>
      <w:r>
        <w:t xml:space="preserve">C for 10 minutes. SDS was quenched by adding 145 </w:t>
      </w:r>
      <w:r>
        <w:rPr>
          <w:i/>
        </w:rPr>
        <w:t>µ</w:t>
      </w:r>
      <w:r>
        <w:t>L of H</w:t>
      </w:r>
      <w:r>
        <w:rPr>
          <w:vertAlign w:val="subscript"/>
        </w:rPr>
        <w:t>2</w:t>
      </w:r>
      <w:r>
        <w:t xml:space="preserve">O and 25 </w:t>
      </w:r>
      <w:r>
        <w:rPr>
          <w:i/>
        </w:rPr>
        <w:t>µ</w:t>
      </w:r>
      <w:r>
        <w:t>L of 10% Triton X-100 and incubating at 37</w:t>
      </w:r>
      <w:r>
        <w:rPr>
          <w:vertAlign w:val="superscript"/>
        </w:rPr>
        <w:t>◦</w:t>
      </w:r>
      <w:r>
        <w:t>C for 15 minutes.</w:t>
      </w:r>
    </w:p>
    <w:p w:rsidR="00DB17CE" w:rsidRDefault="006265B5">
      <w:pPr>
        <w:ind w:left="-15" w:firstLine="299"/>
      </w:pPr>
      <w:r>
        <w:t>Res</w:t>
      </w:r>
      <w:r>
        <w:t xml:space="preserve">triction digestion was carried out by adding 25 </w:t>
      </w:r>
      <w:r>
        <w:rPr>
          <w:i/>
        </w:rPr>
        <w:t>µ</w:t>
      </w:r>
      <w:r>
        <w:t>L of 10</w:t>
      </w:r>
      <w:r>
        <w:t xml:space="preserve">× </w:t>
      </w:r>
      <w:r>
        <w:t xml:space="preserve">NEBuffer 2 and 100 U of the MboI restriction enzyme (NEB, R0147) and incubating for </w:t>
      </w:r>
      <w:r>
        <w:t>≥</w:t>
      </w:r>
      <w:r>
        <w:t>2 hours at 37</w:t>
      </w:r>
      <w:r>
        <w:rPr>
          <w:vertAlign w:val="superscript"/>
        </w:rPr>
        <w:t>◦</w:t>
      </w:r>
      <w:r>
        <w:t>C in a Thermomixer at 900 rpm. The reaction was then incubated at 62</w:t>
      </w:r>
      <w:r>
        <w:rPr>
          <w:vertAlign w:val="superscript"/>
        </w:rPr>
        <w:t>◦</w:t>
      </w:r>
      <w:r>
        <w:t>C for 20 minutes in order to inactivate the restriction enzyme.</w:t>
      </w:r>
    </w:p>
    <w:p w:rsidR="00DB17CE" w:rsidRDefault="006265B5">
      <w:pPr>
        <w:spacing w:after="5"/>
        <w:ind w:left="-15" w:firstLine="299"/>
      </w:pPr>
      <w:r>
        <w:t xml:space="preserve">Fragment ends were filled in by adding 37.5 </w:t>
      </w:r>
      <w:r>
        <w:rPr>
          <w:i/>
        </w:rPr>
        <w:t>µ</w:t>
      </w:r>
      <w:r>
        <w:t xml:space="preserve">L of 0.4 mM biotin-14-dATP (ThermoFisher Scientific, # 19524016), 1.5 </w:t>
      </w:r>
      <w:r>
        <w:rPr>
          <w:i/>
        </w:rPr>
        <w:t>µ</w:t>
      </w:r>
      <w:r>
        <w:t>L each of 10 mM dCTP, dGTP and dTTP, and 8</w:t>
      </w:r>
    </w:p>
    <w:p w:rsidR="00DB17CE" w:rsidRDefault="006265B5">
      <w:pPr>
        <w:ind w:left="-5"/>
      </w:pPr>
      <w:r>
        <w:rPr>
          <w:i/>
        </w:rPr>
        <w:t>µ</w:t>
      </w:r>
      <w:r>
        <w:t>L of 5U/</w:t>
      </w:r>
      <w:r>
        <w:rPr>
          <w:i/>
        </w:rPr>
        <w:t>µ</w:t>
      </w:r>
      <w:r>
        <w:t>L DNA Polymerase I Large (Klenow) Fragment (NEB M0210). The reaction was the incubated at 37</w:t>
      </w:r>
      <w:r>
        <w:rPr>
          <w:vertAlign w:val="superscript"/>
        </w:rPr>
        <w:t>◦</w:t>
      </w:r>
      <w:r>
        <w:t>C in a Thermomixer at 900 rpm for 45 minutes.</w:t>
      </w:r>
    </w:p>
    <w:p w:rsidR="00DB17CE" w:rsidRDefault="006265B5">
      <w:pPr>
        <w:spacing w:after="16" w:line="259" w:lineRule="auto"/>
        <w:ind w:right="-15"/>
        <w:jc w:val="right"/>
      </w:pPr>
      <w:r>
        <w:t xml:space="preserve">Fragment end ligation was carried out by adding 663 </w:t>
      </w:r>
      <w:r>
        <w:rPr>
          <w:i/>
        </w:rPr>
        <w:t>µ</w:t>
      </w:r>
      <w:r>
        <w:t>L</w:t>
      </w:r>
    </w:p>
    <w:p w:rsidR="00DB17CE" w:rsidRDefault="006265B5">
      <w:pPr>
        <w:ind w:left="-5"/>
      </w:pPr>
      <w:r>
        <w:rPr>
          <w:noProof/>
        </w:rPr>
        <w:drawing>
          <wp:anchor distT="0" distB="0" distL="114300" distR="114300" simplePos="0" relativeHeight="251658240" behindDoc="0" locked="0" layoutInCell="1" allowOverlap="0">
            <wp:simplePos x="0" y="0"/>
            <wp:positionH relativeFrom="column">
              <wp:posOffset>1</wp:posOffset>
            </wp:positionH>
            <wp:positionV relativeFrom="paragraph">
              <wp:posOffset>45540</wp:posOffset>
            </wp:positionV>
            <wp:extent cx="304800" cy="225551"/>
            <wp:effectExtent l="0" t="0" r="0" b="0"/>
            <wp:wrapSquare wrapText="bothSides"/>
            <wp:docPr id="123660" name="Picture 123660"/>
            <wp:cNvGraphicFramePr/>
            <a:graphic xmlns:a="http://schemas.openxmlformats.org/drawingml/2006/main">
              <a:graphicData uri="http://schemas.openxmlformats.org/drawingml/2006/picture">
                <pic:pic xmlns:pic="http://schemas.openxmlformats.org/drawingml/2006/picture">
                  <pic:nvPicPr>
                    <pic:cNvPr id="123660" name="Picture 123660"/>
                    <pic:cNvPicPr/>
                  </pic:nvPicPr>
                  <pic:blipFill>
                    <a:blip r:embed="rId21"/>
                    <a:stretch>
                      <a:fillRect/>
                    </a:stretch>
                  </pic:blipFill>
                  <pic:spPr>
                    <a:xfrm>
                      <a:off x="0" y="0"/>
                      <a:ext cx="304800" cy="225551"/>
                    </a:xfrm>
                    <a:prstGeom prst="rect">
                      <a:avLst/>
                    </a:prstGeom>
                  </pic:spPr>
                </pic:pic>
              </a:graphicData>
            </a:graphic>
          </wp:anchor>
        </w:drawing>
      </w:r>
      <w:r>
        <w:t xml:space="preserve">H O, 120 </w:t>
      </w:r>
      <w:r>
        <w:rPr>
          <w:i/>
        </w:rPr>
        <w:t>µ</w:t>
      </w:r>
      <w:r>
        <w:t>L 10</w:t>
      </w:r>
      <w:r>
        <w:t xml:space="preserve">× </w:t>
      </w:r>
      <w:r>
        <w:t>NEB T4 DNA ligase buffer (NEB B0202),</w:t>
      </w:r>
    </w:p>
    <w:p w:rsidR="00DB17CE" w:rsidRDefault="006265B5">
      <w:pPr>
        <w:ind w:left="-15" w:firstLine="498"/>
      </w:pPr>
      <w:r>
        <w:t>L of 10</w:t>
      </w:r>
      <w:r>
        <w:t xml:space="preserve">% Triton X-100, 12 </w:t>
      </w:r>
      <w:r>
        <w:rPr>
          <w:i/>
        </w:rPr>
        <w:t>µ</w:t>
      </w:r>
      <w:r>
        <w:t>L of 10 mg/mL Bovine Serum Albumin (100</w:t>
      </w:r>
      <w:r>
        <w:t xml:space="preserve">× </w:t>
      </w:r>
      <w:r>
        <w:t xml:space="preserve">BSA, NEB), 5 </w:t>
      </w:r>
      <w:r>
        <w:rPr>
          <w:i/>
        </w:rPr>
        <w:t>µ</w:t>
      </w:r>
      <w:r>
        <w:t>L of 400 U/</w:t>
      </w:r>
      <w:r>
        <w:rPr>
          <w:i/>
        </w:rPr>
        <w:t>µ</w:t>
      </w:r>
      <w:r>
        <w:t xml:space="preserve">L T4 DNA Ligase (NEB M0202), and incubating at room temperature for </w:t>
      </w:r>
      <w:r>
        <w:t>≥</w:t>
      </w:r>
      <w:r>
        <w:t>4 hours with rotation.</w:t>
      </w:r>
    </w:p>
    <w:p w:rsidR="00DB17CE" w:rsidRDefault="006265B5">
      <w:pPr>
        <w:ind w:left="-15" w:firstLine="299"/>
      </w:pPr>
      <w:r>
        <w:t xml:space="preserve">Nuclei were then pelleted by centrifugation at 3,500 </w:t>
      </w:r>
      <w:r>
        <w:rPr>
          <w:i/>
        </w:rPr>
        <w:t xml:space="preserve">g </w:t>
      </w:r>
      <w:r>
        <w:t>for 5 minutes; the pel</w:t>
      </w:r>
      <w:r>
        <w:t xml:space="preserve">let was resuspended in 200 </w:t>
      </w:r>
      <w:r>
        <w:rPr>
          <w:i/>
        </w:rPr>
        <w:t>µ</w:t>
      </w:r>
      <w:r>
        <w:t>L ChIP Elution Buffer (1% SDS, 0.1 M NaHCO</w:t>
      </w:r>
      <w:r>
        <w:rPr>
          <w:vertAlign w:val="subscript"/>
        </w:rPr>
        <w:t>3</w:t>
      </w:r>
      <w:r>
        <w:t>), Proteinase K was added, and incubated at 65</w:t>
      </w:r>
      <w:r>
        <w:rPr>
          <w:vertAlign w:val="superscript"/>
        </w:rPr>
        <w:t>◦</w:t>
      </w:r>
      <w:r>
        <w:t>C overnight to reverse crosslinks.</w:t>
      </w:r>
    </w:p>
    <w:p w:rsidR="00DB17CE" w:rsidRDefault="006265B5">
      <w:pPr>
        <w:ind w:left="-15" w:firstLine="299"/>
      </w:pPr>
      <w:r>
        <w:t xml:space="preserve">After addition of 600 </w:t>
      </w:r>
      <w:r>
        <w:rPr>
          <w:i/>
        </w:rPr>
        <w:t>µ</w:t>
      </w:r>
      <w:r>
        <w:t>L 1</w:t>
      </w:r>
      <w:r>
        <w:t>×</w:t>
      </w:r>
      <w:r>
        <w:t>TE buffer, DNA was sonicated using a Qsonica S-4000 with a 1/16” tip for 3 m</w:t>
      </w:r>
      <w:r>
        <w:t xml:space="preserve">inutes, with 10 second pulses at intensity 3.5, and 20 seconds rest between pulses. DNA was then purified using the MinElute PCR Purificaiton Kit (Qiagen #28006), with elution in a total volume of 300 </w:t>
      </w:r>
      <w:r>
        <w:rPr>
          <w:i/>
        </w:rPr>
        <w:t>µ</w:t>
      </w:r>
      <w:r>
        <w:t>L 1</w:t>
      </w:r>
      <w:r>
        <w:t xml:space="preserve">× </w:t>
      </w:r>
      <w:r>
        <w:t>EB buffer.</w:t>
      </w:r>
    </w:p>
    <w:p w:rsidR="00DB17CE" w:rsidRDefault="006265B5">
      <w:pPr>
        <w:spacing w:after="16" w:line="259" w:lineRule="auto"/>
        <w:ind w:right="-15"/>
        <w:jc w:val="right"/>
      </w:pPr>
      <w:r>
        <w:lastRenderedPageBreak/>
        <w:t>For streptavidin pulldown of biotin-la</w:t>
      </w:r>
      <w:r>
        <w:t>beled DNA, 150</w:t>
      </w:r>
    </w:p>
    <w:p w:rsidR="00DB17CE" w:rsidRDefault="006265B5">
      <w:pPr>
        <w:ind w:left="-5"/>
      </w:pPr>
      <w:r>
        <w:rPr>
          <w:i/>
        </w:rPr>
        <w:t>µ</w:t>
      </w:r>
      <w:r>
        <w:t xml:space="preserve">L of 10 mg/mL Dynabeads MyOne Streptavidin T1 beads (Life Technologies, 65602) were separated on a magnetic stand, then washed with 400 </w:t>
      </w:r>
      <w:r>
        <w:rPr>
          <w:i/>
        </w:rPr>
        <w:t>µ</w:t>
      </w:r>
      <w:r>
        <w:t>L of 1</w:t>
      </w:r>
      <w:r>
        <w:t xml:space="preserve">× </w:t>
      </w:r>
      <w:r>
        <w:t>TWB (Tween Washing Buffer; 5 mM Tris-HCl pH 7.5; 0.5 mM EDTA; 1 M NaCl; 0.05% Tween 20). The be</w:t>
      </w:r>
      <w:r>
        <w:t xml:space="preserve">ads were resuspended in 300 </w:t>
      </w:r>
      <w:r>
        <w:rPr>
          <w:i/>
        </w:rPr>
        <w:t>µ</w:t>
      </w:r>
      <w:r>
        <w:t>L of 2</w:t>
      </w:r>
      <w:r>
        <w:t xml:space="preserve">× </w:t>
      </w:r>
      <w:r>
        <w:t xml:space="preserve">Binding Buffer (10 mM Tris-HCl pH 7.5, 1 mM EDTA; 2 M NaCl), the sonicated DNA was added, and the beads were incubated for </w:t>
      </w:r>
      <w:r>
        <w:t>≥</w:t>
      </w:r>
      <w:r>
        <w:t xml:space="preserve">15 minutes at room temperature on a rotator. After separation on a magnetic stand, the beads were washed with 600 </w:t>
      </w:r>
      <w:r>
        <w:rPr>
          <w:i/>
        </w:rPr>
        <w:t>µ</w:t>
      </w:r>
      <w:r>
        <w:t>L of 1</w:t>
      </w:r>
      <w:r>
        <w:t xml:space="preserve">× </w:t>
      </w:r>
      <w:r>
        <w:t>TWB, and heated at 55</w:t>
      </w:r>
      <w:r>
        <w:rPr>
          <w:vertAlign w:val="superscript"/>
        </w:rPr>
        <w:t>◦</w:t>
      </w:r>
      <w:r>
        <w:t>C in a Thermomixer with shaking for 2 minutes. After removal of the supernatant on a magnetic stand, the TWB wa</w:t>
      </w:r>
      <w:r>
        <w:t>sh and 55</w:t>
      </w:r>
      <w:r>
        <w:rPr>
          <w:vertAlign w:val="superscript"/>
        </w:rPr>
        <w:t>◦</w:t>
      </w:r>
      <w:r>
        <w:t>C incubation were repeated.</w:t>
      </w:r>
    </w:p>
    <w:p w:rsidR="00DB17CE" w:rsidRDefault="006265B5">
      <w:pPr>
        <w:ind w:left="-15" w:firstLine="299"/>
      </w:pPr>
      <w:r>
        <w:t xml:space="preserve">Final libraries were prepared on beads using the NEBNext Ultra II DNA Library Prep Kit (NEB, #E7645) as follows. End repair was carried out by resuspending beads in 50 </w:t>
      </w:r>
      <w:r>
        <w:rPr>
          <w:i/>
        </w:rPr>
        <w:t>µ</w:t>
      </w:r>
      <w:r>
        <w:t>L 1</w:t>
      </w:r>
      <w:r>
        <w:t xml:space="preserve">× </w:t>
      </w:r>
      <w:r>
        <w:t xml:space="preserve">EB buffer, and adding 3 </w:t>
      </w:r>
      <w:r>
        <w:rPr>
          <w:i/>
        </w:rPr>
        <w:t>µ</w:t>
      </w:r>
      <w:r>
        <w:t>L NEB Ultra End Rep</w:t>
      </w:r>
      <w:r>
        <w:t xml:space="preserve">air Enzyme and 7 </w:t>
      </w:r>
      <w:r>
        <w:rPr>
          <w:i/>
        </w:rPr>
        <w:t>µ</w:t>
      </w:r>
      <w:r>
        <w:t>L NEB Ultra End Repair Enzyme, followed by incubation at 20</w:t>
      </w:r>
      <w:r>
        <w:rPr>
          <w:vertAlign w:val="superscript"/>
        </w:rPr>
        <w:t>◦</w:t>
      </w:r>
      <w:r>
        <w:t>C for 30 minutes and then at 65</w:t>
      </w:r>
      <w:r>
        <w:rPr>
          <w:vertAlign w:val="superscript"/>
        </w:rPr>
        <w:t>◦</w:t>
      </w:r>
      <w:r>
        <w:t>C for 30 minutes.</w:t>
      </w:r>
    </w:p>
    <w:p w:rsidR="00DB17CE" w:rsidRDefault="006265B5">
      <w:pPr>
        <w:ind w:left="-15" w:firstLine="299"/>
      </w:pPr>
      <w:r>
        <w:t xml:space="preserve">Adapters were ligated to DNA fragments by adding 30 </w:t>
      </w:r>
      <w:r>
        <w:rPr>
          <w:i/>
        </w:rPr>
        <w:t>µ</w:t>
      </w:r>
      <w:r>
        <w:t xml:space="preserve">L Blunt Ligation mix, 1 </w:t>
      </w:r>
      <w:r>
        <w:rPr>
          <w:i/>
        </w:rPr>
        <w:t>µ</w:t>
      </w:r>
      <w:r>
        <w:t xml:space="preserve">L Ligation Enhancer and 2.5 </w:t>
      </w:r>
      <w:r>
        <w:rPr>
          <w:i/>
        </w:rPr>
        <w:t>µ</w:t>
      </w:r>
      <w:r>
        <w:t>L NEB Adapter, incuba</w:t>
      </w:r>
      <w:r>
        <w:t>ting at 20</w:t>
      </w:r>
      <w:r>
        <w:rPr>
          <w:vertAlign w:val="superscript"/>
        </w:rPr>
        <w:t>◦</w:t>
      </w:r>
      <w:r>
        <w:t xml:space="preserve">C for 20 minutes, adding 3 </w:t>
      </w:r>
      <w:r>
        <w:rPr>
          <w:i/>
        </w:rPr>
        <w:t>µ</w:t>
      </w:r>
      <w:r>
        <w:t>L USER enzyme, and incubating at 37</w:t>
      </w:r>
      <w:r>
        <w:rPr>
          <w:vertAlign w:val="superscript"/>
        </w:rPr>
        <w:t>◦</w:t>
      </w:r>
      <w:r>
        <w:t>C for 15 minutes.</w:t>
      </w:r>
    </w:p>
    <w:p w:rsidR="00DB17CE" w:rsidRDefault="006265B5">
      <w:pPr>
        <w:ind w:left="-15" w:firstLine="299"/>
      </w:pPr>
      <w:r>
        <w:t xml:space="preserve">Beads were then separated on a magnetic stand, and washed with 600 </w:t>
      </w:r>
      <w:r>
        <w:rPr>
          <w:i/>
        </w:rPr>
        <w:t>µ</w:t>
      </w:r>
      <w:r>
        <w:t>L TWB for 2 minutes at 55</w:t>
      </w:r>
      <w:r>
        <w:rPr>
          <w:vertAlign w:val="superscript"/>
        </w:rPr>
        <w:t>◦</w:t>
      </w:r>
      <w:r>
        <w:t>C, 1000 rpm in a Thermomixer. After separation on a magnetic stand, b</w:t>
      </w:r>
      <w:r>
        <w:t xml:space="preserve">eads were washed in 100 </w:t>
      </w:r>
      <w:r>
        <w:rPr>
          <w:i/>
        </w:rPr>
        <w:t>µ</w:t>
      </w:r>
      <w:r>
        <w:t xml:space="preserve">L 0.1 </w:t>
      </w:r>
      <w:r>
        <w:t xml:space="preserve">× </w:t>
      </w:r>
      <w:r>
        <w:t xml:space="preserve">TE buffer, then resuspended in 16 </w:t>
      </w:r>
      <w:r>
        <w:rPr>
          <w:i/>
        </w:rPr>
        <w:t>µ</w:t>
      </w:r>
      <w:r>
        <w:t xml:space="preserve">L 0.1 </w:t>
      </w:r>
      <w:r>
        <w:t xml:space="preserve">× </w:t>
      </w:r>
      <w:r>
        <w:t>TE buffer, and heated at 98</w:t>
      </w:r>
      <w:r>
        <w:rPr>
          <w:vertAlign w:val="superscript"/>
        </w:rPr>
        <w:t>◦</w:t>
      </w:r>
      <w:r>
        <w:t>C for 10 minutes.</w:t>
      </w:r>
    </w:p>
    <w:p w:rsidR="00DB17CE" w:rsidRDefault="006265B5">
      <w:pPr>
        <w:ind w:left="-15" w:firstLine="299"/>
      </w:pPr>
      <w:r>
        <w:t xml:space="preserve">For PCR, 5 </w:t>
      </w:r>
      <w:r>
        <w:rPr>
          <w:i/>
        </w:rPr>
        <w:t>µ</w:t>
      </w:r>
      <w:r>
        <w:t xml:space="preserve">L of each of the i5 and i7 NEB Next sequencing adapters were added together with 25 </w:t>
      </w:r>
      <w:r>
        <w:rPr>
          <w:i/>
        </w:rPr>
        <w:t>µ</w:t>
      </w:r>
      <w:r>
        <w:t>L 2</w:t>
      </w:r>
      <w:r>
        <w:t xml:space="preserve">× </w:t>
      </w:r>
      <w:r>
        <w:t>NEB Ultra PCR Mater Mix. PCR was</w:t>
      </w:r>
      <w:r>
        <w:t xml:space="preserve"> carried out with a 98</w:t>
      </w:r>
      <w:r>
        <w:rPr>
          <w:vertAlign w:val="superscript"/>
        </w:rPr>
        <w:t>◦</w:t>
      </w:r>
      <w:r>
        <w:t>C incubation for 30 seconds and 12 cycles of 98</w:t>
      </w:r>
      <w:r>
        <w:rPr>
          <w:vertAlign w:val="superscript"/>
        </w:rPr>
        <w:t>◦</w:t>
      </w:r>
      <w:r>
        <w:t>C for 10 seconds, 65</w:t>
      </w:r>
      <w:r>
        <w:rPr>
          <w:vertAlign w:val="superscript"/>
        </w:rPr>
        <w:t>◦</w:t>
      </w:r>
      <w:r>
        <w:t>C for 30 seconds, and 72</w:t>
      </w:r>
      <w:r>
        <w:rPr>
          <w:vertAlign w:val="superscript"/>
        </w:rPr>
        <w:t>◦</w:t>
      </w:r>
      <w:r>
        <w:t>C for 1 minute, followed by incubation at 72</w:t>
      </w:r>
      <w:r>
        <w:rPr>
          <w:vertAlign w:val="superscript"/>
        </w:rPr>
        <w:t>◦</w:t>
      </w:r>
      <w:r>
        <w:t>C for 5 minutes.</w:t>
      </w:r>
    </w:p>
    <w:p w:rsidR="00DB17CE" w:rsidRDefault="006265B5">
      <w:pPr>
        <w:ind w:left="-15" w:firstLine="299"/>
      </w:pPr>
      <w:r>
        <w:t xml:space="preserve">Beads were separated on a magnetic stand, and the supernatant was cleaned up </w:t>
      </w:r>
      <w:r>
        <w:t>using 1</w:t>
      </w:r>
      <w:r>
        <w:t xml:space="preserve">× </w:t>
      </w:r>
      <w:r>
        <w:t>AMPure XP beads.</w:t>
      </w:r>
    </w:p>
    <w:p w:rsidR="00DB17CE" w:rsidRDefault="006265B5">
      <w:pPr>
        <w:spacing w:after="297"/>
        <w:ind w:left="-15" w:firstLine="299"/>
      </w:pPr>
      <w:r>
        <w:t>Libraries were sequenced in a paired-end format on a Illumina NextSeq instrument using NextSeq 500/550 high output kits (either 2</w:t>
      </w:r>
      <w:r>
        <w:t>×</w:t>
      </w:r>
      <w:r>
        <w:t>75 or 2</w:t>
      </w:r>
      <w:r>
        <w:t>×</w:t>
      </w:r>
      <w:r>
        <w:t>36 cycles).</w:t>
      </w:r>
    </w:p>
    <w:p w:rsidR="00DB17CE" w:rsidRDefault="006265B5">
      <w:pPr>
        <w:pStyle w:val="Heading3"/>
        <w:ind w:left="10" w:right="0"/>
      </w:pPr>
      <w:r>
        <w:t>Hi-C data processing and assembly scaffolding</w:t>
      </w:r>
    </w:p>
    <w:p w:rsidR="00DB17CE" w:rsidRDefault="006265B5">
      <w:pPr>
        <w:ind w:left="-5"/>
      </w:pPr>
      <w:r>
        <w:t>As an initial step, Hi-C sequencin</w:t>
      </w:r>
      <w:r>
        <w:t xml:space="preserve">g reads from all libraries were trimmed of adapter sequences, pooled together, and processed against the previously published </w:t>
      </w:r>
      <w:r>
        <w:rPr>
          <w:i/>
        </w:rPr>
        <w:t xml:space="preserve">B. minutum </w:t>
      </w:r>
      <w:r>
        <w:t>assembly (20) using the Juicer pipeline (38) for analyzing HiC datasets (version 1.8.9 of Juicer Tools).</w:t>
      </w:r>
    </w:p>
    <w:p w:rsidR="00DB17CE" w:rsidRDefault="006265B5">
      <w:pPr>
        <w:ind w:left="-15" w:firstLine="299"/>
      </w:pPr>
      <w:r>
        <w:t xml:space="preserve">The resulting Hi-C matrices were then used as input to the 3D DNA pipeline (21) for automated scaffolding with the </w:t>
      </w:r>
      <w:r>
        <w:t xml:space="preserve">following parameters: </w:t>
      </w:r>
      <w:r>
        <w:rPr>
          <w:rFonts w:ascii="Calibri" w:eastAsia="Calibri" w:hAnsi="Calibri" w:cs="Calibri"/>
        </w:rPr>
        <w:t>--editor-coarse-resolution 5000 --editor-coarse-region 5000 --polisher-input-size</w:t>
      </w:r>
    </w:p>
    <w:p w:rsidR="00DB17CE" w:rsidRDefault="006265B5">
      <w:pPr>
        <w:spacing w:after="3" w:line="259" w:lineRule="auto"/>
        <w:ind w:left="-5"/>
        <w:jc w:val="left"/>
      </w:pPr>
      <w:r>
        <w:rPr>
          <w:rFonts w:ascii="Calibri" w:eastAsia="Calibri" w:hAnsi="Calibri" w:cs="Calibri"/>
        </w:rPr>
        <w:t>100000--polisher-coarse-resolution100</w:t>
      </w:r>
      <w:r>
        <w:rPr>
          <w:rFonts w:ascii="Calibri" w:eastAsia="Calibri" w:hAnsi="Calibri" w:cs="Calibri"/>
        </w:rPr>
        <w:t>0</w:t>
      </w:r>
    </w:p>
    <w:p w:rsidR="00DB17CE" w:rsidRDefault="006265B5">
      <w:pPr>
        <w:spacing w:after="3" w:line="259" w:lineRule="auto"/>
        <w:ind w:left="-5"/>
        <w:jc w:val="left"/>
      </w:pPr>
      <w:r>
        <w:rPr>
          <w:rFonts w:ascii="Calibri" w:eastAsia="Calibri" w:hAnsi="Calibri" w:cs="Calibri"/>
        </w:rPr>
        <w:t>--polisher-coarse-region300000</w:t>
      </w:r>
    </w:p>
    <w:p w:rsidR="00DB17CE" w:rsidRDefault="006265B5">
      <w:pPr>
        <w:spacing w:after="3" w:line="259" w:lineRule="auto"/>
        <w:ind w:left="-5"/>
        <w:jc w:val="left"/>
      </w:pPr>
      <w:r>
        <w:rPr>
          <w:rFonts w:ascii="Calibri" w:eastAsia="Calibri" w:hAnsi="Calibri" w:cs="Calibri"/>
        </w:rPr>
        <w:t>--splitter-input-size100000 --splitter-coarse-resolution5000</w:t>
      </w:r>
    </w:p>
    <w:p w:rsidR="00DB17CE" w:rsidRDefault="006265B5">
      <w:pPr>
        <w:spacing w:after="3" w:line="259" w:lineRule="auto"/>
        <w:ind w:left="-5"/>
        <w:jc w:val="left"/>
      </w:pPr>
      <w:r>
        <w:rPr>
          <w:rFonts w:ascii="Calibri" w:eastAsia="Calibri" w:hAnsi="Calibri" w:cs="Calibri"/>
        </w:rPr>
        <w:t>--splitter-coarse-region 300000 --sort-output --build-gapped-map-r 10-i 5000</w:t>
      </w:r>
      <w:r>
        <w:t>.</w:t>
      </w:r>
    </w:p>
    <w:p w:rsidR="00DB17CE" w:rsidRDefault="006265B5">
      <w:pPr>
        <w:spacing w:after="0"/>
        <w:ind w:left="-15" w:firstLine="299"/>
      </w:pPr>
      <w:r>
        <w:t>Manual correction of obvious assembly and scaffolding errors was then carried out using Juicebox (38).</w:t>
      </w:r>
    </w:p>
    <w:p w:rsidR="00DB17CE" w:rsidRDefault="006265B5">
      <w:pPr>
        <w:spacing w:after="0"/>
        <w:ind w:left="-15" w:firstLine="299"/>
      </w:pPr>
      <w:r>
        <w:t>After finalizing the scaffolding, Hi-C reads were reprocessed against the new assembly using the Juicer pipeline. This was done individually for each lib</w:t>
      </w:r>
      <w:r>
        <w:t>rary as well as together for the pooled set of reads.</w:t>
      </w:r>
    </w:p>
    <w:p w:rsidR="00DB17CE" w:rsidRDefault="006265B5">
      <w:pPr>
        <w:spacing w:after="311"/>
        <w:ind w:left="-15" w:firstLine="299"/>
      </w:pPr>
      <w:r>
        <w:t>Data was extracted from the final read matrices using the Juicer suite of tools for Hi-C data analysis.</w:t>
      </w:r>
    </w:p>
    <w:p w:rsidR="00DB17CE" w:rsidRDefault="006265B5">
      <w:pPr>
        <w:pStyle w:val="Heading3"/>
        <w:spacing w:after="153"/>
        <w:ind w:left="10" w:right="0"/>
      </w:pPr>
      <w:r>
        <w:t>Identification of Hi-C domains</w:t>
      </w:r>
    </w:p>
    <w:p w:rsidR="00DB17CE" w:rsidRDefault="006265B5">
      <w:pPr>
        <w:ind w:left="-5"/>
      </w:pPr>
      <w:r>
        <w:t xml:space="preserve">Hi-C matrices were first converted to </w:t>
      </w:r>
      <w:r>
        <w:rPr>
          <w:i/>
        </w:rPr>
        <w:t xml:space="preserve">cool </w:t>
      </w:r>
      <w:r>
        <w:t>format using HiCExplorer</w:t>
      </w:r>
      <w:r>
        <w:t xml:space="preserve"> (3) ”hicConvertFormat” with parameters</w:t>
      </w:r>
    </w:p>
    <w:p w:rsidR="00DB17CE" w:rsidRDefault="006265B5">
      <w:pPr>
        <w:spacing w:after="2"/>
        <w:ind w:left="-5"/>
      </w:pPr>
      <w:r>
        <w:rPr>
          <w:rFonts w:ascii="Calibri" w:eastAsia="Calibri" w:hAnsi="Calibri" w:cs="Calibri"/>
        </w:rPr>
        <w:t xml:space="preserve">--inputFormat hic --outputFormat h5 </w:t>
      </w:r>
      <w:r>
        <w:t>and default resolutions. Subsequent HiCExplorer commands were carried out at 10 kb, 25 kb, and 50 kb resolutions with similar results. Matrices were normalized using ”hicNormalize”</w:t>
      </w:r>
      <w:r>
        <w:t xml:space="preserve"> with parameter </w:t>
      </w:r>
      <w:r>
        <w:rPr>
          <w:rFonts w:ascii="Calibri" w:eastAsia="Calibri" w:hAnsi="Calibri" w:cs="Calibri"/>
        </w:rPr>
        <w:t>--normalize smallest</w:t>
      </w:r>
      <w:r>
        <w:t>, and corrected using ”hicCorrectMatrix correct” with parameters</w:t>
      </w:r>
    </w:p>
    <w:p w:rsidR="00DB17CE" w:rsidRDefault="006265B5">
      <w:pPr>
        <w:spacing w:after="306"/>
        <w:ind w:left="-5"/>
      </w:pPr>
      <w:r>
        <w:rPr>
          <w:rFonts w:ascii="Calibri" w:eastAsia="Calibri" w:hAnsi="Calibri" w:cs="Calibri"/>
        </w:rPr>
        <w:t>--correctionMethodKR</w:t>
      </w:r>
      <w:r>
        <w:t xml:space="preserve">. Hi-C domains were computationally identified using the ”hicFindTADs” from HiCExplorer with parameter </w:t>
      </w:r>
      <w:r>
        <w:rPr>
          <w:rFonts w:ascii="Calibri" w:eastAsia="Calibri" w:hAnsi="Calibri" w:cs="Calibri"/>
        </w:rPr>
        <w:t>--correctForMultipleTestingfdr</w:t>
      </w:r>
      <w:r>
        <w:t>.</w:t>
      </w:r>
    </w:p>
    <w:p w:rsidR="00DB17CE" w:rsidRDefault="006265B5">
      <w:pPr>
        <w:pStyle w:val="Heading3"/>
        <w:spacing w:after="151"/>
        <w:ind w:left="10" w:right="0"/>
      </w:pPr>
      <w:r>
        <w:t>RNA-seq datasets</w:t>
      </w:r>
    </w:p>
    <w:p w:rsidR="00DB17CE" w:rsidRDefault="006265B5">
      <w:pPr>
        <w:spacing w:after="310"/>
        <w:ind w:left="-5"/>
      </w:pPr>
      <w:r>
        <w:t>Approximately 5</w:t>
      </w:r>
      <w:r>
        <w:t>×</w:t>
      </w:r>
      <w:r>
        <w:t>10</w:t>
      </w:r>
      <w:r>
        <w:rPr>
          <w:vertAlign w:val="superscript"/>
        </w:rPr>
        <w:t xml:space="preserve">7 </w:t>
      </w:r>
      <w:r>
        <w:t xml:space="preserve">cells were collected by centrifugation at 100 </w:t>
      </w:r>
      <w:r>
        <w:rPr>
          <w:i/>
        </w:rPr>
        <w:t xml:space="preserve">g </w:t>
      </w:r>
      <w:r>
        <w:t>for 5 minutes at room temperature. Total RNA was extracted and libraries were constructed for RNA-Seq using the TruSeq RNA Library Prep Kit V2 (Illumina, San Diego, CA, US</w:t>
      </w:r>
      <w:r>
        <w:t>A) according to the manufacturer protocol. All of the raw sequencing reads are available at Sequence Read Archive (SRA) with accession number SRX7258938.</w:t>
      </w:r>
    </w:p>
    <w:p w:rsidR="00DB17CE" w:rsidRDefault="006265B5">
      <w:pPr>
        <w:pStyle w:val="Heading3"/>
        <w:ind w:left="10" w:right="0"/>
      </w:pPr>
      <w:r>
        <w:t>RNA-seq data analysis</w:t>
      </w:r>
    </w:p>
    <w:p w:rsidR="00DB17CE" w:rsidRDefault="006265B5">
      <w:pPr>
        <w:ind w:left="-5"/>
      </w:pPr>
      <w:r>
        <w:t>RNA-seq reads were aligned against the corresponding assemblies using the STAR a</w:t>
      </w:r>
      <w:r>
        <w:t xml:space="preserve">ligner (39) (version 2.5.3a) with the following settings: </w:t>
      </w:r>
      <w:r>
        <w:rPr>
          <w:rFonts w:ascii="Calibri" w:eastAsia="Calibri" w:hAnsi="Calibri" w:cs="Calibri"/>
        </w:rPr>
        <w:t>--limitSjdbInsertNsj</w:t>
      </w:r>
    </w:p>
    <w:p w:rsidR="00DB17CE" w:rsidRDefault="006265B5">
      <w:pPr>
        <w:spacing w:after="3" w:line="259" w:lineRule="auto"/>
        <w:ind w:left="-5"/>
        <w:jc w:val="left"/>
      </w:pPr>
      <w:r>
        <w:rPr>
          <w:rFonts w:ascii="Calibri" w:eastAsia="Calibri" w:hAnsi="Calibri" w:cs="Calibri"/>
        </w:rPr>
        <w:t>10000000 --outFilterMultimapNmax 50 \verb</w:t>
      </w:r>
      <w:r>
        <w:t xml:space="preserve">– outFilterMismatchNmax— </w:t>
      </w:r>
      <w:r>
        <w:rPr>
          <w:rFonts w:ascii="Calibri" w:eastAsia="Calibri" w:hAnsi="Calibri" w:cs="Calibri"/>
        </w:rPr>
        <w:t>999</w:t>
      </w:r>
    </w:p>
    <w:p w:rsidR="00DB17CE" w:rsidRDefault="006265B5">
      <w:pPr>
        <w:spacing w:after="3" w:line="259" w:lineRule="auto"/>
        <w:ind w:left="-5"/>
        <w:jc w:val="left"/>
      </w:pPr>
      <w:r>
        <w:rPr>
          <w:rFonts w:ascii="Calibri" w:eastAsia="Calibri" w:hAnsi="Calibri" w:cs="Calibri"/>
        </w:rPr>
        <w:t>--outFilterMismatchNoverReadLmax0.04</w:t>
      </w:r>
    </w:p>
    <w:p w:rsidR="00DB17CE" w:rsidRDefault="006265B5">
      <w:pPr>
        <w:spacing w:after="3" w:line="259" w:lineRule="auto"/>
        <w:ind w:left="-5"/>
        <w:jc w:val="left"/>
      </w:pPr>
      <w:r>
        <w:rPr>
          <w:rFonts w:ascii="Calibri" w:eastAsia="Calibri" w:hAnsi="Calibri" w:cs="Calibri"/>
        </w:rPr>
        <w:t>--alignIntronMin 10 --alignIntronMax 1000000</w:t>
      </w:r>
    </w:p>
    <w:p w:rsidR="00DB17CE" w:rsidRDefault="006265B5">
      <w:pPr>
        <w:spacing w:after="3" w:line="259" w:lineRule="auto"/>
        <w:ind w:left="-5"/>
        <w:jc w:val="left"/>
      </w:pPr>
      <w:r>
        <w:rPr>
          <w:rFonts w:ascii="Calibri" w:eastAsia="Calibri" w:hAnsi="Calibri" w:cs="Calibri"/>
        </w:rPr>
        <w:t>--alignMatesGapMax 1000000 --alignSJoverhangMin 8 --alignSJDBoverhangMin 1 --sjdbScore 1</w:t>
      </w:r>
    </w:p>
    <w:p w:rsidR="00DB17CE" w:rsidRDefault="006265B5">
      <w:pPr>
        <w:spacing w:after="298"/>
        <w:ind w:left="-5"/>
      </w:pPr>
      <w:r>
        <w:rPr>
          <w:rFonts w:ascii="Calibri" w:eastAsia="Calibri" w:hAnsi="Calibri" w:cs="Calibri"/>
        </w:rPr>
        <w:t>--twopassModeBasic--twopass1readsN-1</w:t>
      </w:r>
      <w:r>
        <w:t xml:space="preserve">. As available RNA-seq datasets for </w:t>
      </w:r>
      <w:r>
        <w:rPr>
          <w:i/>
        </w:rPr>
        <w:t xml:space="preserve">B. minutum </w:t>
      </w:r>
      <w:r>
        <w:t xml:space="preserve">are not strand-specific, the </w:t>
      </w:r>
      <w:r>
        <w:lastRenderedPageBreak/>
        <w:t xml:space="preserve">strand orientation of the transcriptome was visualized </w:t>
      </w:r>
      <w:r>
        <w:t xml:space="preserve">as follows. Aligned reads were first </w:t>
      </w:r>
      <w:r>
        <w:rPr>
          <w:i/>
        </w:rPr>
        <w:t xml:space="preserve">de novo </w:t>
      </w:r>
      <w:r>
        <w:t>assembled into transcripts and quantified at the transcript level using Stringtie (40) (version 1.3.3.b); the orientation of splice junctions serves as a reliable guide for the directionality of these transcript</w:t>
      </w:r>
      <w:r>
        <w:t>s. Open reading frames (ORFs) were identified for each transcript, and transcripts with ORFs shorter than 60 amino acids were filtered out of the transcript set. Strand-specific genomic tracks were then generated by assigning to each basepair covered by at</w:t>
      </w:r>
      <w:r>
        <w:t xml:space="preserve"> least one exon in that set the sum of the TPM (Transcript Per Million transcripts) values of all transcripts it is included in.</w:t>
      </w:r>
    </w:p>
    <w:p w:rsidR="00DB17CE" w:rsidRDefault="006265B5">
      <w:pPr>
        <w:pStyle w:val="Heading3"/>
        <w:spacing w:after="147"/>
        <w:ind w:left="10" w:right="0"/>
      </w:pPr>
      <w:r>
        <w:t>External Hi-C datasets</w:t>
      </w:r>
    </w:p>
    <w:p w:rsidR="00DB17CE" w:rsidRDefault="006265B5">
      <w:pPr>
        <w:ind w:left="-5"/>
      </w:pPr>
      <w:r>
        <w:t xml:space="preserve">Hi-C data for </w:t>
      </w:r>
      <w:r>
        <w:rPr>
          <w:i/>
        </w:rPr>
        <w:t xml:space="preserve">Trypanosoma brucei </w:t>
      </w:r>
      <w:r>
        <w:t>was obtained from GEO accession GSE118764.</w:t>
      </w:r>
    </w:p>
    <w:p w:rsidR="00DB17CE" w:rsidRDefault="006265B5">
      <w:pPr>
        <w:spacing w:after="16" w:line="259" w:lineRule="auto"/>
        <w:ind w:right="-15"/>
        <w:jc w:val="right"/>
      </w:pPr>
      <w:r>
        <w:t xml:space="preserve">Hi-C data for </w:t>
      </w:r>
      <w:r>
        <w:rPr>
          <w:i/>
        </w:rPr>
        <w:t>Schizosaccharo</w:t>
      </w:r>
      <w:r>
        <w:rPr>
          <w:i/>
        </w:rPr>
        <w:t xml:space="preserve">myces pombe </w:t>
      </w:r>
      <w:r>
        <w:t>was obtained from GEO accession GSE57316.</w:t>
      </w:r>
    </w:p>
    <w:p w:rsidR="00DB17CE" w:rsidRDefault="006265B5">
      <w:pPr>
        <w:spacing w:after="294"/>
        <w:ind w:left="-15" w:firstLine="299"/>
      </w:pPr>
      <w:r>
        <w:t xml:space="preserve">Hi-C data for </w:t>
      </w:r>
      <w:r>
        <w:rPr>
          <w:i/>
        </w:rPr>
        <w:t xml:space="preserve">Caulobacter vibrioides </w:t>
      </w:r>
      <w:r>
        <w:t>CB15 was obtained from GEO accession GSE45966.</w:t>
      </w:r>
    </w:p>
    <w:p w:rsidR="00DB17CE" w:rsidRDefault="006265B5">
      <w:pPr>
        <w:pStyle w:val="Heading3"/>
        <w:ind w:left="10" w:right="0"/>
      </w:pPr>
      <w:r>
        <w:t>Sequence Analysis</w:t>
      </w:r>
    </w:p>
    <w:p w:rsidR="00DB17CE" w:rsidRDefault="006265B5">
      <w:pPr>
        <w:ind w:left="-5"/>
      </w:pPr>
      <w:r>
        <w:t>Topoisomerase and other replication-related proteins were identified in annotated MMETSP transcripto</w:t>
      </w:r>
      <w:r>
        <w:t>me assemblies using HMMER3.0 (41) and the Pfam 27.0 protein domain database (42) as previously described (16).</w:t>
      </w:r>
    </w:p>
    <w:p w:rsidR="00DB17CE" w:rsidRDefault="00DB17CE">
      <w:pPr>
        <w:sectPr w:rsidR="00DB17CE">
          <w:type w:val="continuous"/>
          <w:pgSz w:w="12240" w:h="15840"/>
          <w:pgMar w:top="1195" w:right="850" w:bottom="1090" w:left="850" w:header="720" w:footer="720" w:gutter="0"/>
          <w:cols w:num="2" w:space="299"/>
        </w:sectPr>
      </w:pPr>
    </w:p>
    <w:p w:rsidR="00DB17CE" w:rsidRDefault="006265B5">
      <w:pPr>
        <w:pStyle w:val="Heading2"/>
        <w:spacing w:after="387"/>
      </w:pPr>
      <w:r>
        <w:t>Supplementary Tables</w:t>
      </w:r>
    </w:p>
    <w:p w:rsidR="00DB17CE" w:rsidRDefault="006265B5">
      <w:pPr>
        <w:spacing w:after="3"/>
        <w:ind w:left="1499"/>
      </w:pPr>
      <w:r>
        <w:rPr>
          <w:b/>
        </w:rPr>
        <w:t xml:space="preserve">Supplementary Table 1: </w:t>
      </w:r>
      <w:r>
        <w:t>Summary of Hi-C datasets used in this study</w:t>
      </w:r>
    </w:p>
    <w:tbl>
      <w:tblPr>
        <w:tblStyle w:val="TableGrid"/>
        <w:tblW w:w="10594" w:type="dxa"/>
        <w:tblInd w:w="-590" w:type="dxa"/>
        <w:tblCellMar>
          <w:top w:w="30" w:type="dxa"/>
          <w:left w:w="0" w:type="dxa"/>
          <w:bottom w:w="0" w:type="dxa"/>
          <w:right w:w="115" w:type="dxa"/>
        </w:tblCellMar>
        <w:tblLook w:val="04A0" w:firstRow="1" w:lastRow="0" w:firstColumn="1" w:lastColumn="0" w:noHBand="0" w:noVBand="1"/>
      </w:tblPr>
      <w:tblGrid>
        <w:gridCol w:w="6595"/>
        <w:gridCol w:w="1373"/>
        <w:gridCol w:w="1373"/>
        <w:gridCol w:w="1253"/>
      </w:tblGrid>
      <w:tr w:rsidR="00DB17CE">
        <w:trPr>
          <w:trHeight w:val="666"/>
        </w:trPr>
        <w:tc>
          <w:tcPr>
            <w:tcW w:w="6595" w:type="dxa"/>
            <w:tcBorders>
              <w:top w:val="single" w:sz="3" w:space="0" w:color="000000"/>
              <w:left w:val="nil"/>
              <w:bottom w:val="single" w:sz="3" w:space="0" w:color="000000"/>
              <w:right w:val="nil"/>
            </w:tcBorders>
            <w:vAlign w:val="center"/>
          </w:tcPr>
          <w:p w:rsidR="00DB17CE" w:rsidRDefault="006265B5">
            <w:pPr>
              <w:spacing w:after="0" w:line="259" w:lineRule="auto"/>
              <w:ind w:left="120" w:firstLine="0"/>
              <w:jc w:val="left"/>
            </w:pPr>
            <w:r>
              <w:rPr>
                <w:sz w:val="18"/>
              </w:rPr>
              <w:t>Hi-C library</w:t>
            </w:r>
          </w:p>
        </w:tc>
        <w:tc>
          <w:tcPr>
            <w:tcW w:w="1373" w:type="dxa"/>
            <w:tcBorders>
              <w:top w:val="single" w:sz="3" w:space="0" w:color="000000"/>
              <w:left w:val="nil"/>
              <w:bottom w:val="single" w:sz="3" w:space="0" w:color="000000"/>
              <w:right w:val="nil"/>
            </w:tcBorders>
            <w:vAlign w:val="center"/>
          </w:tcPr>
          <w:p w:rsidR="00DB17CE" w:rsidRDefault="006265B5">
            <w:pPr>
              <w:tabs>
                <w:tab w:val="right" w:pos="1258"/>
              </w:tabs>
              <w:spacing w:after="0" w:line="259" w:lineRule="auto"/>
              <w:ind w:left="0" w:firstLine="0"/>
              <w:jc w:val="left"/>
            </w:pPr>
            <w:r>
              <w:rPr>
                <w:sz w:val="18"/>
              </w:rPr>
              <w:t>Number</w:t>
            </w:r>
            <w:r>
              <w:rPr>
                <w:sz w:val="18"/>
              </w:rPr>
              <w:tab/>
              <w:t>raw</w:t>
            </w:r>
          </w:p>
          <w:p w:rsidR="00DB17CE" w:rsidRDefault="006265B5">
            <w:pPr>
              <w:spacing w:after="0" w:line="259" w:lineRule="auto"/>
              <w:ind w:left="0" w:firstLine="0"/>
              <w:jc w:val="left"/>
            </w:pPr>
            <w:r>
              <w:rPr>
                <w:sz w:val="18"/>
              </w:rPr>
              <w:t>read pairs</w:t>
            </w:r>
          </w:p>
        </w:tc>
        <w:tc>
          <w:tcPr>
            <w:tcW w:w="1373" w:type="dxa"/>
            <w:tcBorders>
              <w:top w:val="single" w:sz="3" w:space="0" w:color="000000"/>
              <w:left w:val="nil"/>
              <w:bottom w:val="single" w:sz="3" w:space="0" w:color="000000"/>
              <w:right w:val="nil"/>
            </w:tcBorders>
          </w:tcPr>
          <w:p w:rsidR="00DB17CE" w:rsidRDefault="006265B5">
            <w:pPr>
              <w:spacing w:after="0" w:line="273" w:lineRule="auto"/>
              <w:ind w:left="0" w:firstLine="0"/>
              <w:jc w:val="left"/>
            </w:pPr>
            <w:r>
              <w:rPr>
                <w:sz w:val="18"/>
              </w:rPr>
              <w:t>Estimated library</w:t>
            </w:r>
            <w:r>
              <w:rPr>
                <w:sz w:val="18"/>
              </w:rPr>
              <w:tab/>
              <w:t>com-</w:t>
            </w:r>
          </w:p>
          <w:p w:rsidR="00DB17CE" w:rsidRDefault="006265B5">
            <w:pPr>
              <w:spacing w:after="0" w:line="259" w:lineRule="auto"/>
              <w:ind w:left="0" w:firstLine="0"/>
              <w:jc w:val="left"/>
            </w:pPr>
            <w:r>
              <w:rPr>
                <w:sz w:val="18"/>
              </w:rPr>
              <w:t>plexity</w:t>
            </w:r>
          </w:p>
        </w:tc>
        <w:tc>
          <w:tcPr>
            <w:tcW w:w="1253" w:type="dxa"/>
            <w:tcBorders>
              <w:top w:val="single" w:sz="3" w:space="0" w:color="000000"/>
              <w:left w:val="nil"/>
              <w:bottom w:val="single" w:sz="3" w:space="0" w:color="000000"/>
              <w:right w:val="nil"/>
            </w:tcBorders>
            <w:vAlign w:val="center"/>
          </w:tcPr>
          <w:p w:rsidR="00DB17CE" w:rsidRDefault="006265B5">
            <w:pPr>
              <w:spacing w:after="0" w:line="259" w:lineRule="auto"/>
              <w:ind w:left="0" w:firstLine="0"/>
              <w:jc w:val="left"/>
            </w:pPr>
            <w:r>
              <w:rPr>
                <w:sz w:val="18"/>
              </w:rPr>
              <w:t>Number Hi-C</w:t>
            </w:r>
          </w:p>
          <w:p w:rsidR="00DB17CE" w:rsidRDefault="006265B5">
            <w:pPr>
              <w:spacing w:after="0" w:line="259" w:lineRule="auto"/>
              <w:ind w:left="0" w:firstLine="0"/>
              <w:jc w:val="left"/>
            </w:pPr>
            <w:r>
              <w:rPr>
                <w:sz w:val="18"/>
              </w:rPr>
              <w:t>contacts</w:t>
            </w:r>
          </w:p>
        </w:tc>
      </w:tr>
      <w:tr w:rsidR="00DB17CE">
        <w:trPr>
          <w:trHeight w:val="222"/>
        </w:trPr>
        <w:tc>
          <w:tcPr>
            <w:tcW w:w="6595" w:type="dxa"/>
            <w:tcBorders>
              <w:top w:val="single" w:sz="3" w:space="0" w:color="000000"/>
              <w:left w:val="nil"/>
              <w:bottom w:val="nil"/>
              <w:right w:val="nil"/>
            </w:tcBorders>
          </w:tcPr>
          <w:p w:rsidR="00DB17CE" w:rsidRDefault="006265B5">
            <w:pPr>
              <w:spacing w:after="0" w:line="259" w:lineRule="auto"/>
              <w:ind w:left="120" w:firstLine="0"/>
              <w:jc w:val="left"/>
            </w:pPr>
            <w:r>
              <w:rPr>
                <w:sz w:val="18"/>
              </w:rPr>
              <w:t>L142-SSBO1-HIC</w:t>
            </w:r>
          </w:p>
        </w:tc>
        <w:tc>
          <w:tcPr>
            <w:tcW w:w="1373" w:type="dxa"/>
            <w:tcBorders>
              <w:top w:val="single" w:sz="3" w:space="0" w:color="000000"/>
              <w:left w:val="nil"/>
              <w:bottom w:val="nil"/>
              <w:right w:val="nil"/>
            </w:tcBorders>
          </w:tcPr>
          <w:p w:rsidR="00DB17CE" w:rsidRDefault="006265B5">
            <w:pPr>
              <w:spacing w:after="0" w:line="259" w:lineRule="auto"/>
              <w:ind w:left="0" w:firstLine="0"/>
              <w:jc w:val="left"/>
            </w:pPr>
            <w:r>
              <w:rPr>
                <w:sz w:val="18"/>
              </w:rPr>
              <w:t>534,609,924</w:t>
            </w:r>
          </w:p>
        </w:tc>
        <w:tc>
          <w:tcPr>
            <w:tcW w:w="1373" w:type="dxa"/>
            <w:tcBorders>
              <w:top w:val="single" w:sz="3" w:space="0" w:color="000000"/>
              <w:left w:val="nil"/>
              <w:bottom w:val="nil"/>
              <w:right w:val="nil"/>
            </w:tcBorders>
          </w:tcPr>
          <w:p w:rsidR="00DB17CE" w:rsidRDefault="006265B5">
            <w:pPr>
              <w:spacing w:after="0" w:line="259" w:lineRule="auto"/>
              <w:ind w:left="0" w:firstLine="0"/>
              <w:jc w:val="left"/>
            </w:pPr>
            <w:r>
              <w:rPr>
                <w:sz w:val="18"/>
              </w:rPr>
              <w:t>920,112,029</w:t>
            </w:r>
          </w:p>
        </w:tc>
        <w:tc>
          <w:tcPr>
            <w:tcW w:w="1253" w:type="dxa"/>
            <w:tcBorders>
              <w:top w:val="single" w:sz="3" w:space="0" w:color="000000"/>
              <w:left w:val="nil"/>
              <w:bottom w:val="nil"/>
              <w:right w:val="nil"/>
            </w:tcBorders>
          </w:tcPr>
          <w:p w:rsidR="00DB17CE" w:rsidRDefault="006265B5">
            <w:pPr>
              <w:spacing w:after="0" w:line="259" w:lineRule="auto"/>
              <w:ind w:left="0" w:firstLine="0"/>
              <w:jc w:val="left"/>
            </w:pPr>
            <w:r>
              <w:rPr>
                <w:sz w:val="18"/>
              </w:rPr>
              <w:t>220,908,462</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L533-SSBO1 27C Hi-C</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556,089,015</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1,513,268,498</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151,618,419</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L534-SSBO1 34C Hi-C</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531,461,453</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2,971,291,849</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165,231,965</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L1240-SSBO1-</w:t>
            </w:r>
            <w:r>
              <w:rPr>
                <w:i/>
                <w:sz w:val="18"/>
              </w:rPr>
              <w:t xml:space="preserve">α </w:t>
            </w:r>
            <w:r>
              <w:rPr>
                <w:sz w:val="18"/>
              </w:rPr>
              <w:t>amanitin-0h-Hi-C</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111,333,226</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233,525,989</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34,384,671</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L1241-SSB01-</w:t>
            </w:r>
            <w:r>
              <w:rPr>
                <w:i/>
                <w:sz w:val="18"/>
              </w:rPr>
              <w:t xml:space="preserve">α </w:t>
            </w:r>
            <w:r>
              <w:rPr>
                <w:sz w:val="18"/>
              </w:rPr>
              <w:t>amanitin-16h-Hi-C-rep1</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60,696,609</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317,650,525</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24,238,281</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L1242-SSB01-</w:t>
            </w:r>
            <w:r>
              <w:rPr>
                <w:i/>
                <w:sz w:val="18"/>
              </w:rPr>
              <w:t xml:space="preserve">α </w:t>
            </w:r>
            <w:r>
              <w:rPr>
                <w:sz w:val="18"/>
              </w:rPr>
              <w:t>amanitin-16h-Hi-C-rep2</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67,376,168</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227,736,960</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25,551,603</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L1243-SSB01-</w:t>
            </w:r>
            <w:r>
              <w:rPr>
                <w:i/>
                <w:sz w:val="18"/>
              </w:rPr>
              <w:t xml:space="preserve">α </w:t>
            </w:r>
            <w:r>
              <w:rPr>
                <w:sz w:val="18"/>
              </w:rPr>
              <w:t>amanitin-24h-Hi-C-rep1</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81,532,584</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235,898,386</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29,748,439</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L1244-SSB01-</w:t>
            </w:r>
            <w:r>
              <w:rPr>
                <w:i/>
                <w:sz w:val="18"/>
              </w:rPr>
              <w:t xml:space="preserve">α </w:t>
            </w:r>
            <w:r>
              <w:rPr>
                <w:sz w:val="18"/>
              </w:rPr>
              <w:t>amanitin-24h-Hi-C-rep2</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106,381,220</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110,607,925</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28,845,306</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L1245-SSB01-</w:t>
            </w:r>
            <w:r>
              <w:rPr>
                <w:i/>
                <w:sz w:val="18"/>
              </w:rPr>
              <w:t xml:space="preserve">α </w:t>
            </w:r>
            <w:r>
              <w:rPr>
                <w:sz w:val="18"/>
              </w:rPr>
              <w:t>amanitin-48h-Hi-C-rep1</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90,180,763</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155,046,434</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27,045,343</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L1246-SSB01-</w:t>
            </w:r>
            <w:r>
              <w:rPr>
                <w:i/>
                <w:sz w:val="18"/>
              </w:rPr>
              <w:t xml:space="preserve">α </w:t>
            </w:r>
            <w:r>
              <w:rPr>
                <w:sz w:val="18"/>
              </w:rPr>
              <w:t>amanitin-48h-Hi-C-rep2</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78,982,528</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152,703,652</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22,153,117</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L1247-SSB01-</w:t>
            </w:r>
            <w:r>
              <w:rPr>
                <w:i/>
                <w:sz w:val="18"/>
              </w:rPr>
              <w:t xml:space="preserve">α </w:t>
            </w:r>
            <w:r>
              <w:rPr>
                <w:sz w:val="18"/>
              </w:rPr>
              <w:t>amanitin high-48h-Hi-C</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110,015,013</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157,350,902</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28,138,017</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L1332-SSB01-</w:t>
            </w:r>
            <w:r>
              <w:rPr>
                <w:i/>
                <w:sz w:val="18"/>
              </w:rPr>
              <w:t xml:space="preserve">α </w:t>
            </w:r>
            <w:r>
              <w:rPr>
                <w:sz w:val="18"/>
              </w:rPr>
              <w:t>amanitin-0h-Hi-C-technical rep</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117,543,007</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182,213,300</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34,089,285</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L1333-SSB01-</w:t>
            </w:r>
            <w:r>
              <w:rPr>
                <w:i/>
                <w:sz w:val="18"/>
              </w:rPr>
              <w:t xml:space="preserve">α </w:t>
            </w:r>
            <w:r>
              <w:rPr>
                <w:sz w:val="18"/>
              </w:rPr>
              <w:t>amanitin-48h-Hi-C-rep1-technical rep</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117,821,773</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82,740,021</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23,654,760</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L1334-SSB01-</w:t>
            </w:r>
            <w:r>
              <w:rPr>
                <w:i/>
                <w:sz w:val="18"/>
              </w:rPr>
              <w:t xml:space="preserve">α </w:t>
            </w:r>
            <w:r>
              <w:rPr>
                <w:sz w:val="18"/>
              </w:rPr>
              <w:t>amanitin high-48h-Hi-C-technical rep</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95,662,202</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164,149,035</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23,944,231</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L1336-SSB01-</w:t>
            </w:r>
            <w:r>
              <w:rPr>
                <w:i/>
                <w:sz w:val="18"/>
              </w:rPr>
              <w:t xml:space="preserve">α </w:t>
            </w:r>
            <w:r>
              <w:rPr>
                <w:sz w:val="18"/>
              </w:rPr>
              <w:t>amanitin high-24h-Hi-C-second time course</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58,747,402</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103,174,104</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15,663,160</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L1337-SSB01-</w:t>
            </w:r>
            <w:r>
              <w:rPr>
                <w:i/>
                <w:sz w:val="18"/>
              </w:rPr>
              <w:t xml:space="preserve">α </w:t>
            </w:r>
            <w:r>
              <w:rPr>
                <w:sz w:val="18"/>
              </w:rPr>
              <w:t>amanitin high-48h-Hi-C-second time course</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83,691,617</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62,658,394</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14,523,464</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L1344-SSB01-</w:t>
            </w:r>
            <w:r>
              <w:rPr>
                <w:i/>
                <w:sz w:val="18"/>
              </w:rPr>
              <w:t xml:space="preserve">α </w:t>
            </w:r>
            <w:r>
              <w:rPr>
                <w:sz w:val="18"/>
              </w:rPr>
              <w:t>amanitin/triptolide 0h NT-Hi-C</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79,383,186</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208,157,102</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23,592,335</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L1346-SSB01-triptolide 8h normal dose-Hi-C</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81,731,190</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193,514,340</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22,700,096</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L1347-SSB01-triptolide 8h high dose-Hi-C</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112,753,865</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187,235,670</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28,552,855</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L1348-SSB01-Triptolide 24h NT-Hi-C</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52,148,987</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166,057,825</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15,674,551</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L1349-SSB01-triptolide 24h normal dose-Hi-C</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132,715,807</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206,778,720</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36,745,591</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L1350-SSB01-triptolide 24h high dose-Hi-C</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98,429,444</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265,027,975</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32,121,298</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L1351-SSB01-Triptolide 48h NT-Hi-C</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96,846,551</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240,797,245</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28,296,251</w:t>
            </w:r>
          </w:p>
        </w:tc>
      </w:tr>
      <w:tr w:rsidR="00DB17CE">
        <w:trPr>
          <w:trHeight w:val="219"/>
        </w:trPr>
        <w:tc>
          <w:tcPr>
            <w:tcW w:w="6595" w:type="dxa"/>
            <w:tcBorders>
              <w:top w:val="nil"/>
              <w:left w:val="nil"/>
              <w:bottom w:val="nil"/>
              <w:right w:val="nil"/>
            </w:tcBorders>
          </w:tcPr>
          <w:p w:rsidR="00DB17CE" w:rsidRDefault="006265B5">
            <w:pPr>
              <w:spacing w:after="0" w:line="259" w:lineRule="auto"/>
              <w:ind w:left="120" w:firstLine="0"/>
              <w:jc w:val="left"/>
            </w:pPr>
            <w:r>
              <w:rPr>
                <w:sz w:val="18"/>
              </w:rPr>
              <w:t>L1352-SSB01-triptolide 48h normal dose-Hi-C</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85,347,611</w:t>
            </w:r>
          </w:p>
        </w:tc>
        <w:tc>
          <w:tcPr>
            <w:tcW w:w="1373" w:type="dxa"/>
            <w:tcBorders>
              <w:top w:val="nil"/>
              <w:left w:val="nil"/>
              <w:bottom w:val="nil"/>
              <w:right w:val="nil"/>
            </w:tcBorders>
          </w:tcPr>
          <w:p w:rsidR="00DB17CE" w:rsidRDefault="006265B5">
            <w:pPr>
              <w:spacing w:after="0" w:line="259" w:lineRule="auto"/>
              <w:ind w:left="0" w:firstLine="0"/>
              <w:jc w:val="left"/>
            </w:pPr>
            <w:r>
              <w:rPr>
                <w:sz w:val="18"/>
              </w:rPr>
              <w:t>255,500,603</w:t>
            </w:r>
          </w:p>
        </w:tc>
        <w:tc>
          <w:tcPr>
            <w:tcW w:w="1253" w:type="dxa"/>
            <w:tcBorders>
              <w:top w:val="nil"/>
              <w:left w:val="nil"/>
              <w:bottom w:val="nil"/>
              <w:right w:val="nil"/>
            </w:tcBorders>
          </w:tcPr>
          <w:p w:rsidR="00DB17CE" w:rsidRDefault="006265B5">
            <w:pPr>
              <w:spacing w:after="0" w:line="259" w:lineRule="auto"/>
              <w:ind w:left="0" w:firstLine="0"/>
              <w:jc w:val="left"/>
            </w:pPr>
            <w:r>
              <w:rPr>
                <w:sz w:val="18"/>
              </w:rPr>
              <w:t>25,051,605</w:t>
            </w:r>
          </w:p>
        </w:tc>
      </w:tr>
      <w:tr w:rsidR="00DB17CE">
        <w:trPr>
          <w:trHeight w:val="224"/>
        </w:trPr>
        <w:tc>
          <w:tcPr>
            <w:tcW w:w="6595" w:type="dxa"/>
            <w:tcBorders>
              <w:top w:val="nil"/>
              <w:left w:val="nil"/>
              <w:bottom w:val="single" w:sz="3" w:space="0" w:color="000000"/>
              <w:right w:val="nil"/>
            </w:tcBorders>
          </w:tcPr>
          <w:p w:rsidR="00DB17CE" w:rsidRDefault="006265B5">
            <w:pPr>
              <w:spacing w:after="0" w:line="259" w:lineRule="auto"/>
              <w:ind w:left="120" w:firstLine="0"/>
              <w:jc w:val="left"/>
            </w:pPr>
            <w:r>
              <w:rPr>
                <w:sz w:val="18"/>
              </w:rPr>
              <w:t>L1353-SSB01-triptolide 48h high dose-Hi-C</w:t>
            </w:r>
          </w:p>
        </w:tc>
        <w:tc>
          <w:tcPr>
            <w:tcW w:w="1373" w:type="dxa"/>
            <w:tcBorders>
              <w:top w:val="nil"/>
              <w:left w:val="nil"/>
              <w:bottom w:val="single" w:sz="3" w:space="0" w:color="000000"/>
              <w:right w:val="nil"/>
            </w:tcBorders>
          </w:tcPr>
          <w:p w:rsidR="00DB17CE" w:rsidRDefault="006265B5">
            <w:pPr>
              <w:spacing w:after="0" w:line="259" w:lineRule="auto"/>
              <w:ind w:left="0" w:firstLine="0"/>
              <w:jc w:val="left"/>
            </w:pPr>
            <w:r>
              <w:rPr>
                <w:sz w:val="18"/>
              </w:rPr>
              <w:t>99,978,207</w:t>
            </w:r>
          </w:p>
        </w:tc>
        <w:tc>
          <w:tcPr>
            <w:tcW w:w="1373" w:type="dxa"/>
            <w:tcBorders>
              <w:top w:val="nil"/>
              <w:left w:val="nil"/>
              <w:bottom w:val="single" w:sz="3" w:space="0" w:color="000000"/>
              <w:right w:val="nil"/>
            </w:tcBorders>
          </w:tcPr>
          <w:p w:rsidR="00DB17CE" w:rsidRDefault="006265B5">
            <w:pPr>
              <w:spacing w:after="0" w:line="259" w:lineRule="auto"/>
              <w:ind w:left="0" w:firstLine="0"/>
              <w:jc w:val="left"/>
            </w:pPr>
            <w:r>
              <w:rPr>
                <w:sz w:val="18"/>
              </w:rPr>
              <w:t>215,504,692</w:t>
            </w:r>
          </w:p>
        </w:tc>
        <w:tc>
          <w:tcPr>
            <w:tcW w:w="1253" w:type="dxa"/>
            <w:tcBorders>
              <w:top w:val="nil"/>
              <w:left w:val="nil"/>
              <w:bottom w:val="single" w:sz="3" w:space="0" w:color="000000"/>
              <w:right w:val="nil"/>
            </w:tcBorders>
          </w:tcPr>
          <w:p w:rsidR="00DB17CE" w:rsidRDefault="006265B5">
            <w:pPr>
              <w:spacing w:after="0" w:line="259" w:lineRule="auto"/>
              <w:ind w:left="0" w:firstLine="0"/>
              <w:jc w:val="left"/>
            </w:pPr>
            <w:r>
              <w:rPr>
                <w:sz w:val="18"/>
              </w:rPr>
              <w:t>26,572,806</w:t>
            </w:r>
          </w:p>
        </w:tc>
      </w:tr>
    </w:tbl>
    <w:p w:rsidR="00DB17CE" w:rsidRDefault="00DB17CE">
      <w:pPr>
        <w:sectPr w:rsidR="00DB17CE">
          <w:type w:val="continuous"/>
          <w:pgSz w:w="12240" w:h="15840"/>
          <w:pgMar w:top="1440" w:right="1440" w:bottom="1440" w:left="1440" w:header="720" w:footer="720" w:gutter="0"/>
          <w:cols w:space="720"/>
        </w:sectPr>
      </w:pPr>
    </w:p>
    <w:p w:rsidR="00DB17CE" w:rsidRDefault="006265B5">
      <w:pPr>
        <w:spacing w:after="3"/>
        <w:ind w:left="-5"/>
      </w:pPr>
      <w:r>
        <w:rPr>
          <w:b/>
        </w:rPr>
        <w:lastRenderedPageBreak/>
        <w:t xml:space="preserve">Supplementary Table 2: </w:t>
      </w:r>
      <w:r>
        <w:t>Inventory of topoisomerases and some other proteins involved in DNA replication in dinoflagellates and other eukaryotes as annotated by transcriptome assemblies in the MMETSP databses</w:t>
      </w:r>
    </w:p>
    <w:tbl>
      <w:tblPr>
        <w:tblStyle w:val="TableGrid"/>
        <w:tblW w:w="10681" w:type="dxa"/>
        <w:tblInd w:w="-71" w:type="dxa"/>
        <w:tblCellMar>
          <w:top w:w="30" w:type="dxa"/>
          <w:left w:w="0" w:type="dxa"/>
          <w:bottom w:w="0" w:type="dxa"/>
          <w:right w:w="0" w:type="dxa"/>
        </w:tblCellMar>
        <w:tblLook w:val="04A0" w:firstRow="1" w:lastRow="0" w:firstColumn="1" w:lastColumn="0" w:noHBand="0" w:noVBand="1"/>
      </w:tblPr>
      <w:tblGrid>
        <w:gridCol w:w="1775"/>
        <w:gridCol w:w="4206"/>
        <w:gridCol w:w="523"/>
        <w:gridCol w:w="523"/>
        <w:gridCol w:w="523"/>
        <w:gridCol w:w="523"/>
        <w:gridCol w:w="636"/>
        <w:gridCol w:w="523"/>
        <w:gridCol w:w="523"/>
        <w:gridCol w:w="523"/>
        <w:gridCol w:w="403"/>
      </w:tblGrid>
      <w:tr w:rsidR="00DB17CE">
        <w:trPr>
          <w:trHeight w:val="227"/>
        </w:trPr>
        <w:tc>
          <w:tcPr>
            <w:tcW w:w="5983" w:type="dxa"/>
            <w:gridSpan w:val="2"/>
            <w:tcBorders>
              <w:top w:val="single" w:sz="3" w:space="0" w:color="000000"/>
              <w:left w:val="nil"/>
              <w:bottom w:val="single" w:sz="3" w:space="0" w:color="000000"/>
              <w:right w:val="nil"/>
            </w:tcBorders>
          </w:tcPr>
          <w:p w:rsidR="00DB17CE" w:rsidRDefault="006265B5">
            <w:pPr>
              <w:tabs>
                <w:tab w:val="center" w:pos="2051"/>
              </w:tabs>
              <w:spacing w:after="0" w:line="259" w:lineRule="auto"/>
              <w:ind w:left="0" w:firstLine="0"/>
              <w:jc w:val="left"/>
            </w:pPr>
            <w:r>
              <w:rPr>
                <w:sz w:val="18"/>
              </w:rPr>
              <w:t>clade</w:t>
            </w:r>
            <w:r>
              <w:rPr>
                <w:sz w:val="18"/>
              </w:rPr>
              <w:tab/>
              <w:t>species</w:t>
            </w: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636" w:type="dxa"/>
            <w:tcBorders>
              <w:top w:val="single" w:sz="3" w:space="0" w:color="000000"/>
              <w:left w:val="nil"/>
              <w:bottom w:val="single" w:sz="3" w:space="0" w:color="000000"/>
              <w:right w:val="nil"/>
            </w:tcBorders>
          </w:tcPr>
          <w:p w:rsidR="00DB17CE" w:rsidRDefault="006265B5">
            <w:pPr>
              <w:spacing w:after="0" w:line="259" w:lineRule="auto"/>
              <w:ind w:left="-2090" w:right="-2044" w:firstLine="0"/>
              <w:jc w:val="center"/>
            </w:pPr>
            <w:r>
              <w:rPr>
                <w:sz w:val="18"/>
              </w:rPr>
              <w:t>TOP1TOP2TOP3MCM PCNA RPA1 RPA2 RPA3 RFC1</w:t>
            </w: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40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r>
      <w:tr w:rsidR="00DB17CE">
        <w:trPr>
          <w:trHeight w:val="222"/>
        </w:trPr>
        <w:tc>
          <w:tcPr>
            <w:tcW w:w="5983" w:type="dxa"/>
            <w:gridSpan w:val="2"/>
            <w:tcBorders>
              <w:top w:val="single" w:sz="3" w:space="0" w:color="000000"/>
              <w:left w:val="nil"/>
              <w:bottom w:val="nil"/>
              <w:right w:val="nil"/>
            </w:tcBorders>
          </w:tcPr>
          <w:p w:rsidR="00DB17CE" w:rsidRDefault="006265B5">
            <w:pPr>
              <w:tabs>
                <w:tab w:val="center" w:pos="2869"/>
              </w:tabs>
              <w:spacing w:after="0" w:line="259" w:lineRule="auto"/>
              <w:ind w:left="0" w:firstLine="0"/>
              <w:jc w:val="left"/>
            </w:pPr>
            <w:r>
              <w:rPr>
                <w:sz w:val="18"/>
              </w:rPr>
              <w:t>Amoebozoa</w:t>
            </w:r>
            <w:r>
              <w:rPr>
                <w:sz w:val="18"/>
              </w:rPr>
              <w:tab/>
            </w:r>
            <w:r>
              <w:rPr>
                <w:i/>
                <w:sz w:val="18"/>
              </w:rPr>
              <w:t xml:space="preserve">Stereomyxa ramosa </w:t>
            </w:r>
            <w:r>
              <w:rPr>
                <w:sz w:val="18"/>
              </w:rPr>
              <w:t>Chinc5</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single" w:sz="3" w:space="0" w:color="000000"/>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2</w:t>
            </w:r>
          </w:p>
        </w:tc>
        <w:tc>
          <w:tcPr>
            <w:tcW w:w="403" w:type="dxa"/>
            <w:tcBorders>
              <w:top w:val="single" w:sz="3" w:space="0" w:color="000000"/>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tabs>
                <w:tab w:val="center" w:pos="2897"/>
              </w:tabs>
              <w:spacing w:after="0" w:line="259" w:lineRule="auto"/>
              <w:ind w:left="0" w:firstLine="0"/>
              <w:jc w:val="left"/>
            </w:pPr>
            <w:r>
              <w:rPr>
                <w:sz w:val="18"/>
              </w:rPr>
              <w:t>Amoebozoa</w:t>
            </w:r>
            <w:r>
              <w:rPr>
                <w:sz w:val="18"/>
              </w:rPr>
              <w:tab/>
            </w:r>
            <w:r>
              <w:rPr>
                <w:i/>
                <w:sz w:val="18"/>
              </w:rPr>
              <w:t xml:space="preserve">Vexillifera </w:t>
            </w:r>
            <w:r>
              <w:rPr>
                <w:sz w:val="18"/>
              </w:rPr>
              <w:t>sp. DIVA3 564 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tabs>
                <w:tab w:val="center" w:pos="3341"/>
              </w:tabs>
              <w:spacing w:after="0" w:line="259" w:lineRule="auto"/>
              <w:ind w:left="0" w:firstLine="0"/>
              <w:jc w:val="left"/>
            </w:pPr>
            <w:r>
              <w:rPr>
                <w:sz w:val="18"/>
              </w:rPr>
              <w:t>Apicomplexa</w:t>
            </w:r>
            <w:r>
              <w:rPr>
                <w:sz w:val="18"/>
              </w:rPr>
              <w:tab/>
            </w:r>
            <w:r>
              <w:rPr>
                <w:i/>
                <w:sz w:val="18"/>
              </w:rPr>
              <w:t xml:space="preserve">Lankesteria abbottii </w:t>
            </w:r>
            <w:r>
              <w:rPr>
                <w:sz w:val="18"/>
              </w:rPr>
              <w:t>Grappler Inlet BC</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tabs>
                <w:tab w:val="center" w:pos="2506"/>
              </w:tabs>
              <w:spacing w:after="0" w:line="259" w:lineRule="auto"/>
              <w:ind w:left="0" w:firstLine="0"/>
              <w:jc w:val="left"/>
            </w:pPr>
            <w:r>
              <w:rPr>
                <w:sz w:val="18"/>
              </w:rPr>
              <w:t>Bicosoecid</w:t>
            </w:r>
            <w:r>
              <w:rPr>
                <w:sz w:val="18"/>
              </w:rPr>
              <w:tab/>
              <w:t>Bicosoecid sp ms1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5983" w:type="dxa"/>
            <w:gridSpan w:val="2"/>
            <w:tcBorders>
              <w:top w:val="nil"/>
              <w:left w:val="nil"/>
              <w:bottom w:val="nil"/>
              <w:right w:val="nil"/>
            </w:tcBorders>
          </w:tcPr>
          <w:p w:rsidR="00DB17CE" w:rsidRDefault="006265B5">
            <w:pPr>
              <w:tabs>
                <w:tab w:val="center" w:pos="2974"/>
              </w:tabs>
              <w:spacing w:after="0" w:line="259" w:lineRule="auto"/>
              <w:ind w:left="0" w:firstLine="0"/>
              <w:jc w:val="left"/>
            </w:pPr>
            <w:r>
              <w:rPr>
                <w:sz w:val="18"/>
              </w:rPr>
              <w:t>Bicosoecid</w:t>
            </w:r>
            <w:r>
              <w:rPr>
                <w:sz w:val="18"/>
              </w:rPr>
              <w:tab/>
            </w:r>
            <w:r>
              <w:rPr>
                <w:i/>
                <w:sz w:val="18"/>
              </w:rPr>
              <w:t xml:space="preserve">Cafeteria roenbergensis </w:t>
            </w:r>
            <w:r>
              <w:rPr>
                <w:sz w:val="18"/>
              </w:rPr>
              <w:t>E4 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5983" w:type="dxa"/>
            <w:gridSpan w:val="2"/>
            <w:tcBorders>
              <w:top w:val="nil"/>
              <w:left w:val="nil"/>
              <w:bottom w:val="nil"/>
              <w:right w:val="nil"/>
            </w:tcBorders>
          </w:tcPr>
          <w:p w:rsidR="00DB17CE" w:rsidRDefault="006265B5">
            <w:pPr>
              <w:tabs>
                <w:tab w:val="center" w:pos="3065"/>
              </w:tabs>
              <w:spacing w:after="0" w:line="259" w:lineRule="auto"/>
              <w:ind w:left="0" w:firstLine="0"/>
              <w:jc w:val="left"/>
            </w:pPr>
            <w:r>
              <w:rPr>
                <w:sz w:val="18"/>
              </w:rPr>
              <w:t>Bicosoecid</w:t>
            </w:r>
            <w:r>
              <w:rPr>
                <w:sz w:val="18"/>
              </w:rPr>
              <w:tab/>
            </w:r>
            <w:r>
              <w:rPr>
                <w:i/>
                <w:sz w:val="18"/>
              </w:rPr>
              <w:t xml:space="preserve">Cafeteria </w:t>
            </w:r>
            <w:r>
              <w:rPr>
                <w:sz w:val="18"/>
              </w:rPr>
              <w:t>sp. Caron Lab Isolate</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tabs>
                <w:tab w:val="center" w:pos="3155"/>
              </w:tabs>
              <w:spacing w:after="0" w:line="259" w:lineRule="auto"/>
              <w:ind w:left="0" w:firstLine="0"/>
              <w:jc w:val="left"/>
            </w:pPr>
            <w:r>
              <w:rPr>
                <w:sz w:val="18"/>
              </w:rPr>
              <w:t>Bolidophyte</w:t>
            </w:r>
            <w:r>
              <w:rPr>
                <w:sz w:val="18"/>
              </w:rPr>
              <w:tab/>
            </w:r>
            <w:r>
              <w:rPr>
                <w:i/>
                <w:sz w:val="18"/>
              </w:rPr>
              <w:t xml:space="preserve">Bolidomonas pacifica </w:t>
            </w:r>
            <w:r>
              <w:rPr>
                <w:sz w:val="18"/>
              </w:rPr>
              <w:t>CCMP 1866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spacing w:after="0" w:line="259" w:lineRule="auto"/>
              <w:ind w:left="120" w:firstLine="0"/>
              <w:jc w:val="left"/>
            </w:pPr>
            <w:r>
              <w:rPr>
                <w:sz w:val="18"/>
              </w:rPr>
              <w:t xml:space="preserve">Chlorarachniophyte </w:t>
            </w:r>
            <w:r>
              <w:rPr>
                <w:i/>
                <w:sz w:val="18"/>
              </w:rPr>
              <w:t xml:space="preserve">Bigelowiella natans </w:t>
            </w:r>
            <w:r>
              <w:rPr>
                <w:sz w:val="18"/>
              </w:rPr>
              <w:t>CCMP1258.1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5983" w:type="dxa"/>
            <w:gridSpan w:val="2"/>
            <w:tcBorders>
              <w:top w:val="nil"/>
              <w:left w:val="nil"/>
              <w:bottom w:val="nil"/>
              <w:right w:val="nil"/>
            </w:tcBorders>
          </w:tcPr>
          <w:p w:rsidR="00DB17CE" w:rsidRDefault="006265B5">
            <w:pPr>
              <w:spacing w:after="0" w:line="259" w:lineRule="auto"/>
              <w:ind w:left="120" w:firstLine="0"/>
              <w:jc w:val="left"/>
            </w:pPr>
            <w:r>
              <w:rPr>
                <w:sz w:val="18"/>
              </w:rPr>
              <w:t xml:space="preserve">Chlorarachniophyte </w:t>
            </w:r>
            <w:r>
              <w:rPr>
                <w:i/>
                <w:sz w:val="18"/>
              </w:rPr>
              <w:t xml:space="preserve">Bigelowiella natans </w:t>
            </w:r>
            <w:r>
              <w:rPr>
                <w:sz w:val="18"/>
              </w:rPr>
              <w:t>CCMP1259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spacing w:after="0" w:line="259" w:lineRule="auto"/>
              <w:ind w:left="120" w:firstLine="0"/>
              <w:jc w:val="left"/>
            </w:pPr>
            <w:r>
              <w:rPr>
                <w:sz w:val="18"/>
              </w:rPr>
              <w:t xml:space="preserve">Chlorarachniophyte </w:t>
            </w:r>
            <w:r>
              <w:rPr>
                <w:i/>
                <w:sz w:val="18"/>
              </w:rPr>
              <w:t xml:space="preserve">Bigelowiella natans </w:t>
            </w:r>
            <w:r>
              <w:rPr>
                <w:sz w:val="18"/>
              </w:rPr>
              <w:t>CCMP 2755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spacing w:after="0" w:line="259" w:lineRule="auto"/>
              <w:ind w:left="120" w:firstLine="0"/>
              <w:jc w:val="left"/>
            </w:pPr>
            <w:r>
              <w:rPr>
                <w:sz w:val="18"/>
              </w:rPr>
              <w:t xml:space="preserve">Chlorarachniophyte </w:t>
            </w:r>
            <w:r>
              <w:rPr>
                <w:i/>
                <w:sz w:val="18"/>
              </w:rPr>
              <w:t xml:space="preserve">Bigelowiella natans </w:t>
            </w:r>
            <w:r>
              <w:rPr>
                <w:sz w:val="18"/>
              </w:rPr>
              <w:t>CCMP623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spacing w:after="0" w:line="259" w:lineRule="auto"/>
              <w:ind w:left="120" w:firstLine="0"/>
              <w:jc w:val="left"/>
            </w:pPr>
            <w:r>
              <w:rPr>
                <w:sz w:val="18"/>
              </w:rPr>
              <w:t xml:space="preserve">Chlorarachniophyte </w:t>
            </w:r>
            <w:r>
              <w:rPr>
                <w:i/>
                <w:sz w:val="18"/>
              </w:rPr>
              <w:t xml:space="preserve">Chlorarachnion reptans </w:t>
            </w:r>
            <w:r>
              <w:rPr>
                <w:sz w:val="18"/>
              </w:rPr>
              <w:t>CCCM449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spacing w:after="0" w:line="259" w:lineRule="auto"/>
              <w:ind w:left="120" w:firstLine="0"/>
              <w:jc w:val="left"/>
            </w:pPr>
            <w:r>
              <w:rPr>
                <w:sz w:val="18"/>
              </w:rPr>
              <w:t xml:space="preserve">Chlorarachniophyte </w:t>
            </w:r>
            <w:r>
              <w:rPr>
                <w:i/>
                <w:sz w:val="18"/>
              </w:rPr>
              <w:t xml:space="preserve">Lotharella amoebiformis </w:t>
            </w:r>
            <w:r>
              <w:rPr>
                <w:sz w:val="18"/>
              </w:rPr>
              <w:t>CCMP2058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spacing w:after="0" w:line="259" w:lineRule="auto"/>
              <w:ind w:left="120" w:firstLine="0"/>
              <w:jc w:val="left"/>
            </w:pPr>
            <w:r>
              <w:rPr>
                <w:sz w:val="18"/>
              </w:rPr>
              <w:t xml:space="preserve">Chlorarachniophyte </w:t>
            </w:r>
            <w:r>
              <w:rPr>
                <w:i/>
                <w:sz w:val="18"/>
              </w:rPr>
              <w:t xml:space="preserve">Lotharella globosa </w:t>
            </w:r>
            <w:r>
              <w:rPr>
                <w:sz w:val="18"/>
              </w:rPr>
              <w:t>CCCM811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spacing w:after="0" w:line="259" w:lineRule="auto"/>
              <w:ind w:left="120" w:firstLine="0"/>
              <w:jc w:val="left"/>
            </w:pPr>
            <w:r>
              <w:rPr>
                <w:sz w:val="18"/>
              </w:rPr>
              <w:t xml:space="preserve">Chlorarachniophyte </w:t>
            </w:r>
            <w:r>
              <w:rPr>
                <w:i/>
                <w:sz w:val="18"/>
              </w:rPr>
              <w:t xml:space="preserve">Lotharella oceanica </w:t>
            </w:r>
            <w:r>
              <w:rPr>
                <w:sz w:val="18"/>
              </w:rPr>
              <w:t>CCMP622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spacing w:after="0" w:line="259" w:lineRule="auto"/>
              <w:ind w:left="120" w:firstLine="0"/>
              <w:jc w:val="left"/>
            </w:pPr>
            <w:r>
              <w:rPr>
                <w:sz w:val="18"/>
              </w:rPr>
              <w:t xml:space="preserve">Chlorarachniophyte </w:t>
            </w:r>
            <w:r>
              <w:rPr>
                <w:i/>
                <w:sz w:val="18"/>
              </w:rPr>
              <w:t xml:space="preserve">Norrisiella sphaerica </w:t>
            </w:r>
            <w:r>
              <w:rPr>
                <w:sz w:val="18"/>
              </w:rPr>
              <w:t>BC52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5983" w:type="dxa"/>
            <w:gridSpan w:val="2"/>
            <w:tcBorders>
              <w:top w:val="nil"/>
              <w:left w:val="nil"/>
              <w:bottom w:val="nil"/>
              <w:right w:val="nil"/>
            </w:tcBorders>
          </w:tcPr>
          <w:p w:rsidR="00DB17CE" w:rsidRDefault="006265B5">
            <w:pPr>
              <w:spacing w:after="0" w:line="259" w:lineRule="auto"/>
              <w:ind w:left="120" w:firstLine="0"/>
              <w:jc w:val="left"/>
            </w:pPr>
            <w:r>
              <w:rPr>
                <w:sz w:val="18"/>
              </w:rPr>
              <w:t xml:space="preserve">Chlorarachniophyte </w:t>
            </w:r>
            <w:r>
              <w:rPr>
                <w:i/>
                <w:sz w:val="18"/>
              </w:rPr>
              <w:t xml:space="preserve">Partenskyella glossopodia </w:t>
            </w:r>
            <w:r>
              <w:rPr>
                <w:sz w:val="18"/>
              </w:rPr>
              <w:t>RCC365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Bathycoccus prasinos </w:t>
            </w:r>
            <w:r>
              <w:rPr>
                <w:sz w:val="18"/>
              </w:rPr>
              <w:t>CCMP1898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Bathycoccus prasinos </w:t>
            </w:r>
            <w:r>
              <w:rPr>
                <w:sz w:val="18"/>
              </w:rPr>
              <w:t>RCC716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Chlamydomonas </w:t>
            </w:r>
            <w:r>
              <w:rPr>
                <w:sz w:val="18"/>
              </w:rPr>
              <w:t>cf sp CCMP681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Crustomastix stigmata </w:t>
            </w:r>
            <w:r>
              <w:rPr>
                <w:sz w:val="18"/>
              </w:rPr>
              <w:t>CCMP3273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Cyanoptyche gloeocystis </w:t>
            </w:r>
            <w:r>
              <w:rPr>
                <w:sz w:val="18"/>
              </w:rPr>
              <w:t>SAG4.97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Dolichomastix tenuilepis </w:t>
            </w:r>
            <w:r>
              <w:rPr>
                <w:sz w:val="18"/>
              </w:rPr>
              <w:t>CCMP3274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Dunaliella tertiolecta </w:t>
            </w:r>
            <w:r>
              <w:rPr>
                <w:sz w:val="18"/>
              </w:rPr>
              <w:t>CCMP1320</w:t>
            </w:r>
            <w:bookmarkStart w:id="0" w:name="_GoBack"/>
            <w:bookmarkEnd w:id="0"/>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Mantoniella antarctica </w:t>
            </w:r>
            <w:r>
              <w:rPr>
                <w:sz w:val="18"/>
              </w:rPr>
              <w:t>SL 175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Mantoniella </w:t>
            </w:r>
            <w:r>
              <w:rPr>
                <w:sz w:val="18"/>
              </w:rPr>
              <w:t>sp CCMP1436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Micromonas </w:t>
            </w:r>
            <w:r>
              <w:rPr>
                <w:sz w:val="18"/>
              </w:rPr>
              <w:t>sp CCMP2099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Micromonas </w:t>
            </w:r>
            <w:r>
              <w:rPr>
                <w:sz w:val="18"/>
              </w:rPr>
              <w:t>sp NEPCC29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Micromonas </w:t>
            </w:r>
            <w:r>
              <w:rPr>
                <w:sz w:val="18"/>
              </w:rPr>
              <w:t>sp RCC472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Nephroselmis pyriformis </w:t>
            </w:r>
            <w:r>
              <w:rPr>
                <w:sz w:val="18"/>
              </w:rPr>
              <w:t>CCMP717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Picochlorum oklahomensis </w:t>
            </w:r>
            <w:r>
              <w:rPr>
                <w:sz w:val="18"/>
              </w:rPr>
              <w:t>CCMP2329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Picochlorum </w:t>
            </w:r>
            <w:r>
              <w:rPr>
                <w:sz w:val="18"/>
              </w:rPr>
              <w:t>sp. RCC944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Picocystis salinarum </w:t>
            </w:r>
            <w:r>
              <w:rPr>
                <w:sz w:val="18"/>
              </w:rPr>
              <w:t>CCMP1897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Polytomella parva </w:t>
            </w:r>
            <w:r>
              <w:rPr>
                <w:sz w:val="18"/>
              </w:rPr>
              <w:t>SAG 63 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Prasinoderma coloniale </w:t>
            </w:r>
            <w:r>
              <w:rPr>
                <w:sz w:val="18"/>
              </w:rPr>
              <w:t>CCMP1413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Prasinoderma singularis </w:t>
            </w:r>
            <w:r>
              <w:rPr>
                <w:sz w:val="18"/>
              </w:rPr>
              <w:t>RCC927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Pterosperma </w:t>
            </w:r>
            <w:r>
              <w:rPr>
                <w:sz w:val="18"/>
              </w:rPr>
              <w:t>sp. CCMP1384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Pycnococcus provasolii </w:t>
            </w:r>
            <w:r>
              <w:rPr>
                <w:sz w:val="18"/>
              </w:rPr>
              <w:t>RCC2336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Pycnococcus provasolii </w:t>
            </w:r>
            <w:r>
              <w:rPr>
                <w:sz w:val="18"/>
              </w:rPr>
              <w:t>RCC931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Pyramimonas parkeae </w:t>
            </w:r>
            <w:r>
              <w:rPr>
                <w:sz w:val="18"/>
              </w:rPr>
              <w:t>CCMP726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Stichococcus </w:t>
            </w:r>
            <w:r>
              <w:rPr>
                <w:sz w:val="18"/>
              </w:rPr>
              <w:t>sp RCC1054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Tetraselmis chuii </w:t>
            </w:r>
            <w:r>
              <w:rPr>
                <w:sz w:val="18"/>
              </w:rPr>
              <w:t>PLY429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Chlorophyte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Tetraselmis striata </w:t>
            </w:r>
            <w:r>
              <w:rPr>
                <w:sz w:val="18"/>
              </w:rPr>
              <w:t>LANL1001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Choanoflagellata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Acanthoeca </w:t>
            </w:r>
            <w:r>
              <w:rPr>
                <w:sz w:val="18"/>
              </w:rPr>
              <w:t>like sp 10tr</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Chromerida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Chromera velia </w:t>
            </w:r>
            <w:r>
              <w:rPr>
                <w:sz w:val="18"/>
              </w:rPr>
              <w:t>CCMP2878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Chromerida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Vitrella brassicaformis </w:t>
            </w:r>
            <w:r>
              <w:rPr>
                <w:sz w:val="18"/>
              </w:rPr>
              <w:t>CCMP3346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Chrysophyte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Chromulina nebulosa </w:t>
            </w:r>
            <w:r>
              <w:rPr>
                <w:sz w:val="18"/>
              </w:rPr>
              <w:t>UTEXLB2642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lastRenderedPageBreak/>
              <w:t>Chrysophyte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Dinobryon </w:t>
            </w:r>
            <w:r>
              <w:rPr>
                <w:sz w:val="18"/>
              </w:rPr>
              <w:t>sp UTEXLB2267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Chrysophyte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Mallomonas </w:t>
            </w:r>
            <w:r>
              <w:rPr>
                <w:sz w:val="18"/>
              </w:rPr>
              <w:t>Sp CCMP3275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Chrysophyte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Ochromonas </w:t>
            </w:r>
            <w:r>
              <w:rPr>
                <w:sz w:val="18"/>
              </w:rPr>
              <w:t>sp CCMP1393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Chrysophyte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Paraphysomonas bandaiensis </w:t>
            </w:r>
            <w:r>
              <w:rPr>
                <w:sz w:val="18"/>
              </w:rPr>
              <w:t>Caron Lab Isolate</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Chrysophyte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Paraphysomonas imperforata </w:t>
            </w:r>
            <w:r>
              <w:rPr>
                <w:sz w:val="18"/>
              </w:rPr>
              <w:t>PA2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Chrysophyte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Pelagococcus subviridis </w:t>
            </w:r>
            <w:r>
              <w:rPr>
                <w:sz w:val="18"/>
              </w:rPr>
              <w:t>CCMP1429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Chrysophyte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Spumella elongata </w:t>
            </w:r>
            <w:r>
              <w:rPr>
                <w:sz w:val="18"/>
              </w:rPr>
              <w:t>CCAP 955 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Aristerostoma </w:t>
            </w:r>
            <w:r>
              <w:rPr>
                <w:sz w:val="18"/>
              </w:rPr>
              <w:t>sp. ATCC 50986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Blepharisma japonicum </w:t>
            </w:r>
            <w:r>
              <w:rPr>
                <w:sz w:val="18"/>
              </w:rPr>
              <w:t>Stock R1072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24"/>
        </w:trPr>
        <w:tc>
          <w:tcPr>
            <w:tcW w:w="1776" w:type="dxa"/>
            <w:tcBorders>
              <w:top w:val="nil"/>
              <w:left w:val="nil"/>
              <w:bottom w:val="single" w:sz="3" w:space="0" w:color="000000"/>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single" w:sz="3" w:space="0" w:color="000000"/>
              <w:right w:val="nil"/>
            </w:tcBorders>
          </w:tcPr>
          <w:p w:rsidR="00DB17CE" w:rsidRDefault="006265B5">
            <w:pPr>
              <w:spacing w:after="0" w:line="259" w:lineRule="auto"/>
              <w:ind w:left="0" w:firstLine="0"/>
              <w:jc w:val="left"/>
            </w:pPr>
            <w:r>
              <w:rPr>
                <w:i/>
                <w:sz w:val="18"/>
              </w:rPr>
              <w:t xml:space="preserve">Climacostomum virens </w:t>
            </w:r>
            <w:r>
              <w:rPr>
                <w:sz w:val="18"/>
              </w:rPr>
              <w:t>Stock W 24</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single" w:sz="3" w:space="0" w:color="000000"/>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single" w:sz="3" w:space="0" w:color="000000"/>
              <w:right w:val="nil"/>
            </w:tcBorders>
          </w:tcPr>
          <w:p w:rsidR="00DB17CE" w:rsidRDefault="006265B5">
            <w:pPr>
              <w:spacing w:after="0" w:line="259" w:lineRule="auto"/>
              <w:ind w:left="0" w:firstLine="0"/>
              <w:jc w:val="left"/>
            </w:pPr>
            <w:r>
              <w:rPr>
                <w:sz w:val="18"/>
              </w:rPr>
              <w:t>3</w:t>
            </w:r>
          </w:p>
        </w:tc>
      </w:tr>
    </w:tbl>
    <w:p w:rsidR="00DB17CE" w:rsidRDefault="00DB17CE">
      <w:pPr>
        <w:spacing w:after="0" w:line="259" w:lineRule="auto"/>
        <w:ind w:left="-921" w:right="11460" w:firstLine="0"/>
        <w:jc w:val="left"/>
      </w:pPr>
    </w:p>
    <w:tbl>
      <w:tblPr>
        <w:tblStyle w:val="TableGrid"/>
        <w:tblW w:w="10681" w:type="dxa"/>
        <w:tblInd w:w="-71" w:type="dxa"/>
        <w:tblCellMar>
          <w:top w:w="30" w:type="dxa"/>
          <w:left w:w="0" w:type="dxa"/>
          <w:bottom w:w="0" w:type="dxa"/>
          <w:right w:w="0" w:type="dxa"/>
        </w:tblCellMar>
        <w:tblLook w:val="04A0" w:firstRow="1" w:lastRow="0" w:firstColumn="1" w:lastColumn="0" w:noHBand="0" w:noVBand="1"/>
      </w:tblPr>
      <w:tblGrid>
        <w:gridCol w:w="1775"/>
        <w:gridCol w:w="4206"/>
        <w:gridCol w:w="523"/>
        <w:gridCol w:w="523"/>
        <w:gridCol w:w="523"/>
        <w:gridCol w:w="523"/>
        <w:gridCol w:w="636"/>
        <w:gridCol w:w="523"/>
        <w:gridCol w:w="523"/>
        <w:gridCol w:w="523"/>
        <w:gridCol w:w="403"/>
      </w:tblGrid>
      <w:tr w:rsidR="00DB17CE">
        <w:trPr>
          <w:trHeight w:val="227"/>
        </w:trPr>
        <w:tc>
          <w:tcPr>
            <w:tcW w:w="1776" w:type="dxa"/>
            <w:tcBorders>
              <w:top w:val="single" w:sz="3" w:space="0" w:color="000000"/>
              <w:left w:val="nil"/>
              <w:bottom w:val="single" w:sz="3" w:space="0" w:color="000000"/>
              <w:right w:val="nil"/>
            </w:tcBorders>
          </w:tcPr>
          <w:p w:rsidR="00DB17CE" w:rsidRDefault="006265B5">
            <w:pPr>
              <w:spacing w:after="0" w:line="259" w:lineRule="auto"/>
              <w:ind w:left="120" w:firstLine="0"/>
              <w:jc w:val="left"/>
            </w:pPr>
            <w:r>
              <w:rPr>
                <w:sz w:val="18"/>
              </w:rPr>
              <w:t>clade</w:t>
            </w:r>
          </w:p>
        </w:tc>
        <w:tc>
          <w:tcPr>
            <w:tcW w:w="4208" w:type="dxa"/>
            <w:tcBorders>
              <w:top w:val="single" w:sz="3" w:space="0" w:color="000000"/>
              <w:left w:val="nil"/>
              <w:bottom w:val="single" w:sz="3" w:space="0" w:color="000000"/>
              <w:right w:val="nil"/>
            </w:tcBorders>
          </w:tcPr>
          <w:p w:rsidR="00DB17CE" w:rsidRDefault="006265B5">
            <w:pPr>
              <w:spacing w:after="0" w:line="259" w:lineRule="auto"/>
              <w:ind w:left="0" w:firstLine="0"/>
              <w:jc w:val="left"/>
            </w:pPr>
            <w:r>
              <w:rPr>
                <w:sz w:val="18"/>
              </w:rPr>
              <w:t>species</w:t>
            </w: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636" w:type="dxa"/>
            <w:tcBorders>
              <w:top w:val="single" w:sz="3" w:space="0" w:color="000000"/>
              <w:left w:val="nil"/>
              <w:bottom w:val="single" w:sz="3" w:space="0" w:color="000000"/>
              <w:right w:val="nil"/>
            </w:tcBorders>
          </w:tcPr>
          <w:p w:rsidR="00DB17CE" w:rsidRDefault="006265B5">
            <w:pPr>
              <w:spacing w:after="0" w:line="259" w:lineRule="auto"/>
              <w:ind w:left="-2090" w:right="-2044" w:firstLine="0"/>
              <w:jc w:val="center"/>
            </w:pPr>
            <w:r>
              <w:rPr>
                <w:sz w:val="18"/>
              </w:rPr>
              <w:t>TOP1TOP2TOP3MCM PCNA RPA1 RPA2 RPA3 RFC1</w:t>
            </w: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40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r>
      <w:tr w:rsidR="00DB17CE">
        <w:trPr>
          <w:trHeight w:val="222"/>
        </w:trPr>
        <w:tc>
          <w:tcPr>
            <w:tcW w:w="1776" w:type="dxa"/>
            <w:tcBorders>
              <w:top w:val="single" w:sz="3" w:space="0" w:color="000000"/>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single" w:sz="3" w:space="0" w:color="000000"/>
              <w:left w:val="nil"/>
              <w:bottom w:val="nil"/>
              <w:right w:val="nil"/>
            </w:tcBorders>
          </w:tcPr>
          <w:p w:rsidR="00DB17CE" w:rsidRDefault="006265B5">
            <w:pPr>
              <w:spacing w:after="0" w:line="259" w:lineRule="auto"/>
              <w:ind w:left="0" w:firstLine="0"/>
              <w:jc w:val="left"/>
            </w:pPr>
            <w:r>
              <w:rPr>
                <w:i/>
                <w:sz w:val="18"/>
              </w:rPr>
              <w:t xml:space="preserve">Condylostoma magnum </w:t>
            </w:r>
            <w:r>
              <w:rPr>
                <w:sz w:val="18"/>
              </w:rPr>
              <w:t>COL2</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2</w:t>
            </w:r>
          </w:p>
        </w:tc>
        <w:tc>
          <w:tcPr>
            <w:tcW w:w="636"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Euplotes focardii </w:t>
            </w:r>
            <w:r>
              <w:rPr>
                <w:sz w:val="18"/>
              </w:rPr>
              <w:t>TN1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Euplotes harpa </w:t>
            </w:r>
            <w:r>
              <w:rPr>
                <w:sz w:val="18"/>
              </w:rPr>
              <w:t>FSP1.4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Fabrea salina </w:t>
            </w:r>
            <w:r>
              <w:rPr>
                <w:sz w:val="18"/>
              </w:rPr>
              <w:t>Unknown</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Favella taraikaensis </w:t>
            </w:r>
            <w:r>
              <w:rPr>
                <w:sz w:val="18"/>
              </w:rPr>
              <w:t>FeNarragansettBay</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Litonotus pictus </w:t>
            </w:r>
            <w:r>
              <w:rPr>
                <w:sz w:val="18"/>
              </w:rPr>
              <w:t>P1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Mesodinium pulex </w:t>
            </w:r>
            <w:r>
              <w:rPr>
                <w:sz w:val="18"/>
              </w:rPr>
              <w:t>SPMC105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6</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Myrionecta rubra </w:t>
            </w:r>
            <w:r>
              <w:rPr>
                <w:sz w:val="18"/>
              </w:rPr>
              <w:t>CCMP2563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Platyophrya macrostoma </w:t>
            </w:r>
            <w:r>
              <w:rPr>
                <w:sz w:val="18"/>
              </w:rPr>
              <w:t>WH</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Protocruzia adherens </w:t>
            </w:r>
            <w:r>
              <w:rPr>
                <w:sz w:val="18"/>
              </w:rPr>
              <w:t>Boccale</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Pseudokeronopsis </w:t>
            </w:r>
            <w:r>
              <w:rPr>
                <w:sz w:val="18"/>
              </w:rPr>
              <w:t>sp. OXSARD2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Strombidinopsis acuminatum </w:t>
            </w:r>
            <w:r>
              <w:rPr>
                <w:sz w:val="18"/>
              </w:rPr>
              <w:t>SPMC142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Strombidinopsis </w:t>
            </w:r>
            <w:r>
              <w:rPr>
                <w:sz w:val="18"/>
              </w:rPr>
              <w:t>sp. SopsisLIS2011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Strombidium </w:t>
            </w:r>
            <w:r>
              <w:rPr>
                <w:sz w:val="18"/>
              </w:rPr>
              <w:t>inclinatum S3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Strombidium rassoulzadegani </w:t>
            </w:r>
            <w:r>
              <w:rPr>
                <w:sz w:val="18"/>
              </w:rPr>
              <w:t>ras09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Ciliate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Tiarina fusus </w:t>
            </w:r>
            <w:r>
              <w:rPr>
                <w:sz w:val="18"/>
              </w:rPr>
              <w:t>LIS</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Chroomonas mesostigmatica </w:t>
            </w:r>
            <w:r>
              <w:rPr>
                <w:sz w:val="18"/>
              </w:rPr>
              <w:t>cf CCMP1168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Cryptomonas curvata </w:t>
            </w:r>
            <w:r>
              <w:rPr>
                <w:sz w:val="18"/>
              </w:rPr>
              <w:t>CCAP979 52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Cryptomonas paramecium </w:t>
            </w:r>
            <w:r>
              <w:rPr>
                <w:sz w:val="18"/>
              </w:rPr>
              <w:t>CCAP977 2a</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Geminigera cryophila </w:t>
            </w:r>
            <w:r>
              <w:rPr>
                <w:sz w:val="18"/>
              </w:rPr>
              <w:t>CCMP2564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Geminigera </w:t>
            </w:r>
            <w:r>
              <w:rPr>
                <w:sz w:val="18"/>
              </w:rPr>
              <w:t>sp. Caron Lab Isolate</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Goniomonas pacifica </w:t>
            </w:r>
            <w:r>
              <w:rPr>
                <w:sz w:val="18"/>
              </w:rPr>
              <w:t>CCMP1869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7</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Guillardia theta </w:t>
            </w:r>
            <w:r>
              <w:rPr>
                <w:sz w:val="18"/>
              </w:rPr>
              <w:t>CCMP 2712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Hemiselmis andersenii </w:t>
            </w:r>
            <w:r>
              <w:rPr>
                <w:sz w:val="18"/>
              </w:rPr>
              <w:t>CCMP644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Hemiselmis rufescens </w:t>
            </w:r>
            <w:r>
              <w:rPr>
                <w:sz w:val="18"/>
              </w:rPr>
              <w:t>PCC563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Hemiselmis tepida </w:t>
            </w:r>
            <w:r>
              <w:rPr>
                <w:sz w:val="18"/>
              </w:rPr>
              <w:t>CCMP443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Hemiselmis viresens </w:t>
            </w:r>
            <w:r>
              <w:rPr>
                <w:sz w:val="18"/>
              </w:rPr>
              <w:t>PCC157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Palpitomonas bilix </w:t>
            </w:r>
            <w:r>
              <w:rPr>
                <w:sz w:val="18"/>
              </w:rPr>
              <w:t>NIES 2562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Proteomonas sulcata </w:t>
            </w:r>
            <w:r>
              <w:rPr>
                <w:sz w:val="18"/>
              </w:rPr>
              <w:t>CCMP704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Rhodomonas lens </w:t>
            </w:r>
            <w:r>
              <w:rPr>
                <w:sz w:val="18"/>
              </w:rPr>
              <w:t>RHODO</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Cryptophyte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Rhodomonas </w:t>
            </w:r>
            <w:r>
              <w:rPr>
                <w:sz w:val="18"/>
              </w:rPr>
              <w:t>sp. CCMP768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Amphiprora </w:t>
            </w:r>
            <w:r>
              <w:rPr>
                <w:sz w:val="18"/>
              </w:rPr>
              <w:t>sp.</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Amphora coffeaeformis </w:t>
            </w:r>
            <w:r>
              <w:rPr>
                <w:sz w:val="18"/>
              </w:rPr>
              <w:t>CCMP127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Asterionellopsis glacialis </w:t>
            </w:r>
            <w:r>
              <w:rPr>
                <w:sz w:val="18"/>
              </w:rPr>
              <w:t>CCMP134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Astrosyne radiata </w:t>
            </w:r>
            <w:r>
              <w:rPr>
                <w:sz w:val="18"/>
              </w:rPr>
              <w:t>13vi08 1A</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Attheya septentrionalis </w:t>
            </w:r>
            <w:r>
              <w:rPr>
                <w:sz w:val="18"/>
              </w:rPr>
              <w:t>CCMP2084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Aulacoseira subarctica </w:t>
            </w:r>
            <w:r>
              <w:rPr>
                <w:sz w:val="18"/>
              </w:rPr>
              <w:t>CCAP 1002 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Chaetoceros affinis </w:t>
            </w:r>
            <w:r>
              <w:rPr>
                <w:sz w:val="18"/>
              </w:rPr>
              <w:t>CCMP159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lastRenderedPageBreak/>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Chaetoceros curvisetus</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Chaetoceros debilis </w:t>
            </w:r>
            <w:r>
              <w:rPr>
                <w:sz w:val="18"/>
              </w:rPr>
              <w:t>MM31A 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Chaetoceros neogracile </w:t>
            </w:r>
            <w:r>
              <w:rPr>
                <w:sz w:val="18"/>
              </w:rPr>
              <w:t>CCMP1317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Coscinodiscus wailesii </w:t>
            </w:r>
            <w:r>
              <w:rPr>
                <w:sz w:val="18"/>
              </w:rPr>
              <w:t>CCMP2513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Craspedostauros australis </w:t>
            </w:r>
            <w:r>
              <w:rPr>
                <w:sz w:val="18"/>
              </w:rPr>
              <w:t>CCMP3328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Cyclophora tenuis </w:t>
            </w:r>
            <w:r>
              <w:rPr>
                <w:sz w:val="18"/>
              </w:rPr>
              <w:t>ECT3854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Cyclotella meneghiniana </w:t>
            </w:r>
            <w:r>
              <w:rPr>
                <w:sz w:val="18"/>
              </w:rPr>
              <w:t>CCMP 338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Cylindrotheca closterium </w:t>
            </w:r>
            <w:r>
              <w:rPr>
                <w:sz w:val="18"/>
              </w:rPr>
              <w:t>KMMCC:B 181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Dactyliosolen fragilissimus </w:t>
            </w:r>
            <w:r>
              <w:rPr>
                <w:sz w:val="18"/>
              </w:rPr>
              <w:t>Unknown</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Ditylum brightwellii </w:t>
            </w:r>
            <w:r>
              <w:rPr>
                <w:sz w:val="18"/>
              </w:rPr>
              <w:t>GSO103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Ditylum brightwellii </w:t>
            </w:r>
            <w:r>
              <w:rPr>
                <w:sz w:val="18"/>
              </w:rPr>
              <w:t>GSO104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Ditylum brightwellii </w:t>
            </w:r>
            <w:r>
              <w:rPr>
                <w:sz w:val="18"/>
              </w:rPr>
              <w:t>GSO105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Entomoneis </w:t>
            </w:r>
            <w:r>
              <w:rPr>
                <w:sz w:val="18"/>
              </w:rPr>
              <w:t>sp. CCMP2396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Eucampia antarctica </w:t>
            </w:r>
            <w:r>
              <w:rPr>
                <w:sz w:val="18"/>
              </w:rPr>
              <w:t>CCMP1452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Extubocellulus spinifer </w:t>
            </w:r>
            <w:r>
              <w:rPr>
                <w:sz w:val="18"/>
              </w:rPr>
              <w:t>CCMP396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Fragilariopsis kerguelensis </w:t>
            </w:r>
            <w:r>
              <w:rPr>
                <w:sz w:val="18"/>
              </w:rPr>
              <w:t>L2 C3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Fragilariopsis kerguelensis </w:t>
            </w:r>
            <w:r>
              <w:rPr>
                <w:sz w:val="18"/>
              </w:rPr>
              <w:t>L26 C5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Grammatophora oceanica </w:t>
            </w:r>
            <w:r>
              <w:rPr>
                <w:sz w:val="18"/>
              </w:rPr>
              <w:t>CCMP 410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Helicotheca tamensis </w:t>
            </w:r>
            <w:r>
              <w:rPr>
                <w:sz w:val="18"/>
              </w:rPr>
              <w:t>CCMP826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Leptocylindrus danicus </w:t>
            </w:r>
            <w:r>
              <w:rPr>
                <w:sz w:val="18"/>
              </w:rPr>
              <w:t>var. apora B651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24"/>
        </w:trPr>
        <w:tc>
          <w:tcPr>
            <w:tcW w:w="1776" w:type="dxa"/>
            <w:tcBorders>
              <w:top w:val="nil"/>
              <w:left w:val="nil"/>
              <w:bottom w:val="single" w:sz="3" w:space="0" w:color="000000"/>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single" w:sz="3" w:space="0" w:color="000000"/>
              <w:right w:val="nil"/>
            </w:tcBorders>
          </w:tcPr>
          <w:p w:rsidR="00DB17CE" w:rsidRDefault="006265B5">
            <w:pPr>
              <w:spacing w:after="0" w:line="259" w:lineRule="auto"/>
              <w:ind w:left="0" w:firstLine="0"/>
              <w:jc w:val="left"/>
            </w:pPr>
            <w:r>
              <w:rPr>
                <w:i/>
                <w:sz w:val="18"/>
              </w:rPr>
              <w:t xml:space="preserve">Leptocylindrus danicus </w:t>
            </w:r>
            <w:r>
              <w:rPr>
                <w:sz w:val="18"/>
              </w:rPr>
              <w:t>var. danicus B650</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11</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19</w:t>
            </w:r>
          </w:p>
        </w:tc>
        <w:tc>
          <w:tcPr>
            <w:tcW w:w="636" w:type="dxa"/>
            <w:tcBorders>
              <w:top w:val="nil"/>
              <w:left w:val="nil"/>
              <w:bottom w:val="single" w:sz="3" w:space="0" w:color="000000"/>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single" w:sz="3" w:space="0" w:color="000000"/>
              <w:right w:val="nil"/>
            </w:tcBorders>
          </w:tcPr>
          <w:p w:rsidR="00DB17CE" w:rsidRDefault="006265B5">
            <w:pPr>
              <w:spacing w:after="0" w:line="259" w:lineRule="auto"/>
              <w:ind w:left="0" w:firstLine="0"/>
              <w:jc w:val="left"/>
            </w:pPr>
            <w:r>
              <w:rPr>
                <w:sz w:val="18"/>
              </w:rPr>
              <w:t>2</w:t>
            </w:r>
          </w:p>
        </w:tc>
      </w:tr>
    </w:tbl>
    <w:p w:rsidR="00DB17CE" w:rsidRDefault="00DB17CE">
      <w:pPr>
        <w:spacing w:after="0" w:line="259" w:lineRule="auto"/>
        <w:ind w:left="-921" w:right="11460" w:firstLine="0"/>
        <w:jc w:val="left"/>
      </w:pPr>
    </w:p>
    <w:tbl>
      <w:tblPr>
        <w:tblStyle w:val="TableGrid"/>
        <w:tblW w:w="10681" w:type="dxa"/>
        <w:tblInd w:w="-71" w:type="dxa"/>
        <w:tblCellMar>
          <w:top w:w="30" w:type="dxa"/>
          <w:left w:w="0" w:type="dxa"/>
          <w:bottom w:w="0" w:type="dxa"/>
          <w:right w:w="0" w:type="dxa"/>
        </w:tblCellMar>
        <w:tblLook w:val="04A0" w:firstRow="1" w:lastRow="0" w:firstColumn="1" w:lastColumn="0" w:noHBand="0" w:noVBand="1"/>
      </w:tblPr>
      <w:tblGrid>
        <w:gridCol w:w="1775"/>
        <w:gridCol w:w="4206"/>
        <w:gridCol w:w="523"/>
        <w:gridCol w:w="523"/>
        <w:gridCol w:w="523"/>
        <w:gridCol w:w="523"/>
        <w:gridCol w:w="636"/>
        <w:gridCol w:w="523"/>
        <w:gridCol w:w="523"/>
        <w:gridCol w:w="523"/>
        <w:gridCol w:w="403"/>
      </w:tblGrid>
      <w:tr w:rsidR="00DB17CE">
        <w:trPr>
          <w:trHeight w:val="227"/>
        </w:trPr>
        <w:tc>
          <w:tcPr>
            <w:tcW w:w="1776" w:type="dxa"/>
            <w:tcBorders>
              <w:top w:val="single" w:sz="3" w:space="0" w:color="000000"/>
              <w:left w:val="nil"/>
              <w:bottom w:val="single" w:sz="3" w:space="0" w:color="000000"/>
              <w:right w:val="nil"/>
            </w:tcBorders>
          </w:tcPr>
          <w:p w:rsidR="00DB17CE" w:rsidRDefault="006265B5">
            <w:pPr>
              <w:spacing w:after="0" w:line="259" w:lineRule="auto"/>
              <w:ind w:left="120" w:firstLine="0"/>
              <w:jc w:val="left"/>
            </w:pPr>
            <w:r>
              <w:rPr>
                <w:sz w:val="18"/>
              </w:rPr>
              <w:t>clade</w:t>
            </w:r>
          </w:p>
        </w:tc>
        <w:tc>
          <w:tcPr>
            <w:tcW w:w="4208" w:type="dxa"/>
            <w:tcBorders>
              <w:top w:val="single" w:sz="3" w:space="0" w:color="000000"/>
              <w:left w:val="nil"/>
              <w:bottom w:val="single" w:sz="3" w:space="0" w:color="000000"/>
              <w:right w:val="nil"/>
            </w:tcBorders>
          </w:tcPr>
          <w:p w:rsidR="00DB17CE" w:rsidRDefault="006265B5">
            <w:pPr>
              <w:spacing w:after="0" w:line="259" w:lineRule="auto"/>
              <w:ind w:left="0" w:firstLine="0"/>
              <w:jc w:val="left"/>
            </w:pPr>
            <w:r>
              <w:rPr>
                <w:sz w:val="18"/>
              </w:rPr>
              <w:t>species</w:t>
            </w: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636" w:type="dxa"/>
            <w:tcBorders>
              <w:top w:val="single" w:sz="3" w:space="0" w:color="000000"/>
              <w:left w:val="nil"/>
              <w:bottom w:val="single" w:sz="3" w:space="0" w:color="000000"/>
              <w:right w:val="nil"/>
            </w:tcBorders>
          </w:tcPr>
          <w:p w:rsidR="00DB17CE" w:rsidRDefault="006265B5">
            <w:pPr>
              <w:spacing w:after="0" w:line="259" w:lineRule="auto"/>
              <w:ind w:left="-2090" w:right="-2044" w:firstLine="0"/>
              <w:jc w:val="center"/>
            </w:pPr>
            <w:r>
              <w:rPr>
                <w:sz w:val="18"/>
              </w:rPr>
              <w:t>TOP1TOP2TOP3MCM PCNA RPA1 RPA2 RPA3 RFC1</w:t>
            </w: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40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r>
      <w:tr w:rsidR="00DB17CE">
        <w:trPr>
          <w:trHeight w:val="222"/>
        </w:trPr>
        <w:tc>
          <w:tcPr>
            <w:tcW w:w="1776" w:type="dxa"/>
            <w:tcBorders>
              <w:top w:val="single" w:sz="3" w:space="0" w:color="000000"/>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single" w:sz="3" w:space="0" w:color="000000"/>
              <w:left w:val="nil"/>
              <w:bottom w:val="nil"/>
              <w:right w:val="nil"/>
            </w:tcBorders>
          </w:tcPr>
          <w:p w:rsidR="00DB17CE" w:rsidRDefault="006265B5">
            <w:pPr>
              <w:spacing w:after="0" w:line="259" w:lineRule="auto"/>
              <w:ind w:left="0" w:firstLine="0"/>
              <w:jc w:val="left"/>
            </w:pPr>
            <w:r>
              <w:rPr>
                <w:i/>
                <w:sz w:val="18"/>
              </w:rPr>
              <w:t xml:space="preserve">Licmophora paradoxa </w:t>
            </w:r>
            <w:r>
              <w:rPr>
                <w:sz w:val="18"/>
              </w:rPr>
              <w:t>CCMP2313</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single" w:sz="3" w:space="0" w:color="000000"/>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single" w:sz="3" w:space="0" w:color="000000"/>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Minutocellus polymorphus </w:t>
            </w:r>
            <w:r>
              <w:rPr>
                <w:sz w:val="18"/>
              </w:rPr>
              <w:t>CCMP3303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Minutocellus polymorphus </w:t>
            </w:r>
            <w:r>
              <w:rPr>
                <w:sz w:val="18"/>
              </w:rPr>
              <w:t>NH13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Minutocellus polymorphus </w:t>
            </w:r>
            <w:r>
              <w:rPr>
                <w:sz w:val="18"/>
              </w:rPr>
              <w:t>RCC2270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Nitzschia punctata </w:t>
            </w:r>
            <w:r>
              <w:rPr>
                <w:sz w:val="18"/>
              </w:rPr>
              <w:t>CCMP561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Odontella aurita </w:t>
            </w:r>
            <w:r>
              <w:rPr>
                <w:sz w:val="18"/>
              </w:rPr>
              <w:t>isolate 1302 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Odontella sinensis </w:t>
            </w:r>
            <w:r>
              <w:rPr>
                <w:sz w:val="18"/>
              </w:rPr>
              <w:t>Grunow 1884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Proboscia alata </w:t>
            </w:r>
            <w:r>
              <w:rPr>
                <w:sz w:val="18"/>
              </w:rPr>
              <w:t>PI D3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Pseudo-nitzschia australis </w:t>
            </w:r>
            <w:r>
              <w:rPr>
                <w:sz w:val="18"/>
              </w:rPr>
              <w:t>10249 10 AB</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Pseudo-nitzschia fradulenta </w:t>
            </w:r>
            <w:r>
              <w:rPr>
                <w:sz w:val="18"/>
              </w:rPr>
              <w:t>WWA7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Rhizosolenia setigera </w:t>
            </w:r>
            <w:r>
              <w:rPr>
                <w:sz w:val="18"/>
              </w:rPr>
              <w:t>CCMP 1694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Skeletonema dohrnii </w:t>
            </w:r>
            <w:r>
              <w:rPr>
                <w:sz w:val="18"/>
              </w:rPr>
              <w:t>SkelB</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Skeletonema marinoi </w:t>
            </w:r>
            <w:r>
              <w:rPr>
                <w:sz w:val="18"/>
              </w:rPr>
              <w:t>SkelA</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Skeletonema menzelii </w:t>
            </w:r>
            <w:r>
              <w:rPr>
                <w:sz w:val="18"/>
              </w:rPr>
              <w:t>CCMP793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Stauroneis constricta </w:t>
            </w:r>
            <w:r>
              <w:rPr>
                <w:sz w:val="18"/>
              </w:rPr>
              <w:t>CCMP1120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Staurosira complex </w:t>
            </w:r>
            <w:r>
              <w:rPr>
                <w:sz w:val="18"/>
              </w:rPr>
              <w:t>sp. CCMP2646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Stephanopyxis turris </w:t>
            </w:r>
            <w:r>
              <w:rPr>
                <w:sz w:val="18"/>
              </w:rPr>
              <w:t>CCMP 815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Striatella unipunctata </w:t>
            </w:r>
            <w:r>
              <w:rPr>
                <w:sz w:val="18"/>
              </w:rPr>
              <w:t>CCMP2910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Synedropsis recta </w:t>
            </w:r>
            <w:r>
              <w:rPr>
                <w:sz w:val="18"/>
              </w:rPr>
              <w:t>cf CCMP1620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Thalassionema frauenfeldii </w:t>
            </w:r>
            <w:r>
              <w:rPr>
                <w:sz w:val="18"/>
              </w:rPr>
              <w:t>CCMP 1798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Thalassionema nitzschioides </w:t>
            </w:r>
            <w:r>
              <w:rPr>
                <w:sz w:val="18"/>
              </w:rPr>
              <w:t>L26 B</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Thalassiosira antarctica </w:t>
            </w:r>
            <w:r>
              <w:rPr>
                <w:sz w:val="18"/>
              </w:rPr>
              <w:t>CCMP982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Thalassiosira gravida </w:t>
            </w:r>
            <w:r>
              <w:rPr>
                <w:sz w:val="18"/>
              </w:rPr>
              <w:t>GMp14c1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Thalassiosira miniscula </w:t>
            </w:r>
            <w:r>
              <w:rPr>
                <w:sz w:val="18"/>
              </w:rPr>
              <w:t>CCMP1093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Thalassiosira oceanica </w:t>
            </w:r>
            <w:r>
              <w:rPr>
                <w:sz w:val="18"/>
              </w:rPr>
              <w:t>CCMP1005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Thalassiosira rotula </w:t>
            </w:r>
            <w:r>
              <w:rPr>
                <w:sz w:val="18"/>
              </w:rPr>
              <w:t>CCMP3096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Thalassiosira rotula </w:t>
            </w:r>
            <w:r>
              <w:rPr>
                <w:sz w:val="18"/>
              </w:rPr>
              <w:t>GSO102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lastRenderedPageBreak/>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Thalassiosira weissflogii </w:t>
            </w:r>
            <w:r>
              <w:rPr>
                <w:sz w:val="18"/>
              </w:rPr>
              <w:t>CCMP1010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Thalassiosira weissflogii </w:t>
            </w:r>
            <w:r>
              <w:rPr>
                <w:sz w:val="18"/>
              </w:rPr>
              <w:t>CCMP1336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Thalassiothrix antarctica </w:t>
            </w:r>
            <w:r>
              <w:rPr>
                <w:sz w:val="18"/>
              </w:rPr>
              <w:t>L6 D1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Diatome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Triceratium dubium </w:t>
            </w:r>
            <w:r>
              <w:rPr>
                <w:sz w:val="18"/>
              </w:rPr>
              <w:t>CCMP147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Alexandrium temarense </w:t>
            </w:r>
            <w:r>
              <w:rPr>
                <w:sz w:val="18"/>
              </w:rPr>
              <w:t>CCMP1771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Amphidinium carterae </w:t>
            </w:r>
            <w:r>
              <w:rPr>
                <w:sz w:val="18"/>
              </w:rPr>
              <w:t>CCMP1314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Azadinium spinosum </w:t>
            </w:r>
            <w:r>
              <w:rPr>
                <w:sz w:val="18"/>
              </w:rPr>
              <w:t>3D9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Brandtodinium nutriculum </w:t>
            </w:r>
            <w:r>
              <w:rPr>
                <w:sz w:val="18"/>
              </w:rPr>
              <w:t>RCC3387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Ceratium fusus </w:t>
            </w:r>
            <w:r>
              <w:rPr>
                <w:sz w:val="18"/>
              </w:rPr>
              <w:t>PA161109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Crypthecodinium cohnii </w:t>
            </w:r>
            <w:r>
              <w:rPr>
                <w:sz w:val="18"/>
              </w:rPr>
              <w:t>Seligo</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Dinophysis acuminata </w:t>
            </w:r>
            <w:r>
              <w:rPr>
                <w:sz w:val="18"/>
              </w:rPr>
              <w:t>DAEP01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Durinskia baltica </w:t>
            </w:r>
            <w:r>
              <w:rPr>
                <w:sz w:val="18"/>
              </w:rPr>
              <w:t>CSIRO CS 38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4</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Gambierdiscus australes </w:t>
            </w:r>
            <w:r>
              <w:rPr>
                <w:sz w:val="18"/>
              </w:rPr>
              <w:t>CAWD 149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Glenodinium foliaceum </w:t>
            </w:r>
            <w:r>
              <w:rPr>
                <w:sz w:val="18"/>
              </w:rPr>
              <w:t>CCAP1116 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4</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Gonyaulax spinifera </w:t>
            </w:r>
            <w:r>
              <w:rPr>
                <w:sz w:val="18"/>
              </w:rPr>
              <w:t>CCMP409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Heterocapsa rotundata </w:t>
            </w:r>
            <w:r>
              <w:rPr>
                <w:sz w:val="18"/>
              </w:rPr>
              <w:t>SCCAP K 0483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6</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Heterocapsa triquestra </w:t>
            </w:r>
            <w:r>
              <w:rPr>
                <w:sz w:val="18"/>
              </w:rPr>
              <w:t>CCMP 448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Karenia brevis </w:t>
            </w:r>
            <w:r>
              <w:rPr>
                <w:sz w:val="18"/>
              </w:rPr>
              <w:t>CCMP2229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4</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Karenia brevis </w:t>
            </w:r>
            <w:r>
              <w:rPr>
                <w:sz w:val="18"/>
              </w:rPr>
              <w:t>SP1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4</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Karenia brevis </w:t>
            </w:r>
            <w:r>
              <w:rPr>
                <w:sz w:val="18"/>
              </w:rPr>
              <w:t>SP3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4</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Karenia brevis </w:t>
            </w:r>
            <w:r>
              <w:rPr>
                <w:sz w:val="18"/>
              </w:rPr>
              <w:t>Wilson</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5</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Karlodinium micrum </w:t>
            </w:r>
            <w:r>
              <w:rPr>
                <w:sz w:val="18"/>
              </w:rPr>
              <w:t>CCMP2283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5</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Kryptoperidinium foliaceum </w:t>
            </w:r>
            <w:r>
              <w:rPr>
                <w:sz w:val="18"/>
              </w:rPr>
              <w:t>CCMP1326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7</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Lingulodinium polyedra </w:t>
            </w:r>
            <w:r>
              <w:rPr>
                <w:sz w:val="18"/>
              </w:rPr>
              <w:t>CCMP1738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Noctiluca scintillans </w:t>
            </w:r>
            <w:r>
              <w:rPr>
                <w:sz w:val="18"/>
              </w:rPr>
              <w:t>Unknown</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Oxyrrhis marina</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Oxyrrhis marina </w:t>
            </w:r>
            <w:r>
              <w:rPr>
                <w:sz w:val="18"/>
              </w:rPr>
              <w:t>CCMP1795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Oxyrrhis marina </w:t>
            </w:r>
            <w:r>
              <w:rPr>
                <w:sz w:val="18"/>
              </w:rPr>
              <w:t>LB1974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Pelagodinium beii </w:t>
            </w:r>
            <w:r>
              <w:rPr>
                <w:sz w:val="18"/>
              </w:rPr>
              <w:t>RCC1491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4</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Peridinium aciculiferum </w:t>
            </w:r>
            <w:r>
              <w:rPr>
                <w:sz w:val="18"/>
              </w:rPr>
              <w:t>PAER 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Polarella glacialis </w:t>
            </w:r>
            <w:r>
              <w:rPr>
                <w:sz w:val="18"/>
              </w:rPr>
              <w:t>CCMP 1383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8</w:t>
            </w:r>
          </w:p>
        </w:tc>
      </w:tr>
      <w:tr w:rsidR="00DB17CE">
        <w:trPr>
          <w:trHeight w:val="224"/>
        </w:trPr>
        <w:tc>
          <w:tcPr>
            <w:tcW w:w="1776" w:type="dxa"/>
            <w:tcBorders>
              <w:top w:val="nil"/>
              <w:left w:val="nil"/>
              <w:bottom w:val="single" w:sz="3" w:space="0" w:color="000000"/>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single" w:sz="3" w:space="0" w:color="000000"/>
              <w:right w:val="nil"/>
            </w:tcBorders>
          </w:tcPr>
          <w:p w:rsidR="00DB17CE" w:rsidRDefault="006265B5">
            <w:pPr>
              <w:spacing w:after="0" w:line="259" w:lineRule="auto"/>
              <w:ind w:left="0" w:firstLine="0"/>
              <w:jc w:val="left"/>
            </w:pPr>
            <w:r>
              <w:rPr>
                <w:i/>
                <w:sz w:val="18"/>
              </w:rPr>
              <w:t xml:space="preserve">Prorocentrum minimum </w:t>
            </w:r>
            <w:r>
              <w:rPr>
                <w:sz w:val="18"/>
              </w:rPr>
              <w:t>CCMP1329</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15</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29</w:t>
            </w:r>
          </w:p>
        </w:tc>
        <w:tc>
          <w:tcPr>
            <w:tcW w:w="636" w:type="dxa"/>
            <w:tcBorders>
              <w:top w:val="nil"/>
              <w:left w:val="nil"/>
              <w:bottom w:val="single" w:sz="3" w:space="0" w:color="000000"/>
              <w:right w:val="nil"/>
            </w:tcBorders>
          </w:tcPr>
          <w:p w:rsidR="00DB17CE" w:rsidRDefault="006265B5">
            <w:pPr>
              <w:spacing w:after="0" w:line="259" w:lineRule="auto"/>
              <w:ind w:left="0" w:firstLine="0"/>
              <w:jc w:val="left"/>
            </w:pPr>
            <w:r>
              <w:rPr>
                <w:sz w:val="18"/>
              </w:rPr>
              <w:t>13</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single" w:sz="3" w:space="0" w:color="000000"/>
              <w:right w:val="nil"/>
            </w:tcBorders>
          </w:tcPr>
          <w:p w:rsidR="00DB17CE" w:rsidRDefault="006265B5">
            <w:pPr>
              <w:spacing w:after="0" w:line="259" w:lineRule="auto"/>
              <w:ind w:left="0" w:firstLine="0"/>
              <w:jc w:val="left"/>
            </w:pPr>
            <w:r>
              <w:rPr>
                <w:sz w:val="18"/>
              </w:rPr>
              <w:t>3</w:t>
            </w:r>
          </w:p>
        </w:tc>
      </w:tr>
    </w:tbl>
    <w:p w:rsidR="00DB17CE" w:rsidRDefault="00DB17CE">
      <w:pPr>
        <w:spacing w:after="0" w:line="259" w:lineRule="auto"/>
        <w:ind w:left="-921" w:right="11460" w:firstLine="0"/>
        <w:jc w:val="left"/>
      </w:pPr>
    </w:p>
    <w:tbl>
      <w:tblPr>
        <w:tblStyle w:val="TableGrid"/>
        <w:tblW w:w="10681" w:type="dxa"/>
        <w:tblInd w:w="-71" w:type="dxa"/>
        <w:tblCellMar>
          <w:top w:w="30" w:type="dxa"/>
          <w:left w:w="0" w:type="dxa"/>
          <w:bottom w:w="0" w:type="dxa"/>
          <w:right w:w="0" w:type="dxa"/>
        </w:tblCellMar>
        <w:tblLook w:val="04A0" w:firstRow="1" w:lastRow="0" w:firstColumn="1" w:lastColumn="0" w:noHBand="0" w:noVBand="1"/>
      </w:tblPr>
      <w:tblGrid>
        <w:gridCol w:w="1775"/>
        <w:gridCol w:w="4206"/>
        <w:gridCol w:w="523"/>
        <w:gridCol w:w="523"/>
        <w:gridCol w:w="523"/>
        <w:gridCol w:w="523"/>
        <w:gridCol w:w="636"/>
        <w:gridCol w:w="523"/>
        <w:gridCol w:w="523"/>
        <w:gridCol w:w="523"/>
        <w:gridCol w:w="403"/>
      </w:tblGrid>
      <w:tr w:rsidR="00DB17CE">
        <w:trPr>
          <w:trHeight w:val="227"/>
        </w:trPr>
        <w:tc>
          <w:tcPr>
            <w:tcW w:w="1776" w:type="dxa"/>
            <w:tcBorders>
              <w:top w:val="single" w:sz="3" w:space="0" w:color="000000"/>
              <w:left w:val="nil"/>
              <w:bottom w:val="single" w:sz="3" w:space="0" w:color="000000"/>
              <w:right w:val="nil"/>
            </w:tcBorders>
          </w:tcPr>
          <w:p w:rsidR="00DB17CE" w:rsidRDefault="006265B5">
            <w:pPr>
              <w:spacing w:after="0" w:line="259" w:lineRule="auto"/>
              <w:ind w:left="120" w:firstLine="0"/>
              <w:jc w:val="left"/>
            </w:pPr>
            <w:r>
              <w:rPr>
                <w:sz w:val="18"/>
              </w:rPr>
              <w:t>clade</w:t>
            </w:r>
          </w:p>
        </w:tc>
        <w:tc>
          <w:tcPr>
            <w:tcW w:w="4208" w:type="dxa"/>
            <w:tcBorders>
              <w:top w:val="single" w:sz="3" w:space="0" w:color="000000"/>
              <w:left w:val="nil"/>
              <w:bottom w:val="single" w:sz="3" w:space="0" w:color="000000"/>
              <w:right w:val="nil"/>
            </w:tcBorders>
          </w:tcPr>
          <w:p w:rsidR="00DB17CE" w:rsidRDefault="006265B5">
            <w:pPr>
              <w:spacing w:after="0" w:line="259" w:lineRule="auto"/>
              <w:ind w:left="0" w:firstLine="0"/>
              <w:jc w:val="left"/>
            </w:pPr>
            <w:r>
              <w:rPr>
                <w:sz w:val="18"/>
              </w:rPr>
              <w:t>species</w:t>
            </w: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636" w:type="dxa"/>
            <w:tcBorders>
              <w:top w:val="single" w:sz="3" w:space="0" w:color="000000"/>
              <w:left w:val="nil"/>
              <w:bottom w:val="single" w:sz="3" w:space="0" w:color="000000"/>
              <w:right w:val="nil"/>
            </w:tcBorders>
          </w:tcPr>
          <w:p w:rsidR="00DB17CE" w:rsidRDefault="006265B5">
            <w:pPr>
              <w:spacing w:after="0" w:line="259" w:lineRule="auto"/>
              <w:ind w:left="-2090" w:right="-2044" w:firstLine="0"/>
              <w:jc w:val="center"/>
            </w:pPr>
            <w:r>
              <w:rPr>
                <w:sz w:val="18"/>
              </w:rPr>
              <w:t>TOP1TOP2TOP3MCM PCNA RPA1 RPA2 RPA3 RFC1</w:t>
            </w: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40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r>
      <w:tr w:rsidR="00DB17CE">
        <w:trPr>
          <w:trHeight w:val="222"/>
        </w:trPr>
        <w:tc>
          <w:tcPr>
            <w:tcW w:w="1776" w:type="dxa"/>
            <w:tcBorders>
              <w:top w:val="single" w:sz="3" w:space="0" w:color="000000"/>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single" w:sz="3" w:space="0" w:color="000000"/>
              <w:left w:val="nil"/>
              <w:bottom w:val="nil"/>
              <w:right w:val="nil"/>
            </w:tcBorders>
          </w:tcPr>
          <w:p w:rsidR="00DB17CE" w:rsidRDefault="006265B5">
            <w:pPr>
              <w:spacing w:after="0" w:line="259" w:lineRule="auto"/>
              <w:ind w:left="0" w:firstLine="0"/>
              <w:jc w:val="left"/>
            </w:pPr>
            <w:r>
              <w:rPr>
                <w:i/>
                <w:sz w:val="18"/>
              </w:rPr>
              <w:t xml:space="preserve">Prorocentrum minimum </w:t>
            </w:r>
            <w:r>
              <w:rPr>
                <w:sz w:val="18"/>
              </w:rPr>
              <w:t>CCMP2233</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14</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29</w:t>
            </w:r>
          </w:p>
        </w:tc>
        <w:tc>
          <w:tcPr>
            <w:tcW w:w="636" w:type="dxa"/>
            <w:tcBorders>
              <w:top w:val="single" w:sz="3" w:space="0" w:color="000000"/>
              <w:left w:val="nil"/>
              <w:bottom w:val="nil"/>
              <w:right w:val="nil"/>
            </w:tcBorders>
          </w:tcPr>
          <w:p w:rsidR="00DB17CE" w:rsidRDefault="006265B5">
            <w:pPr>
              <w:spacing w:after="0" w:line="259" w:lineRule="auto"/>
              <w:ind w:left="0" w:firstLine="0"/>
              <w:jc w:val="left"/>
            </w:pPr>
            <w:r>
              <w:rPr>
                <w:sz w:val="18"/>
              </w:rPr>
              <w:t>12</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single" w:sz="3" w:space="0" w:color="000000"/>
              <w:left w:val="nil"/>
              <w:bottom w:val="nil"/>
              <w:right w:val="nil"/>
            </w:tcBorders>
          </w:tcPr>
          <w:p w:rsidR="00DB17CE" w:rsidRDefault="006265B5">
            <w:pPr>
              <w:spacing w:after="0" w:line="259" w:lineRule="auto"/>
              <w:ind w:left="0" w:firstLine="0"/>
              <w:jc w:val="left"/>
            </w:pPr>
            <w:r>
              <w:rPr>
                <w:sz w:val="18"/>
              </w:rPr>
              <w:t>3</w:t>
            </w:r>
          </w:p>
        </w:tc>
      </w:tr>
      <w:tr w:rsidR="00DB17CE">
        <w:trPr>
          <w:trHeight w:val="438"/>
        </w:trPr>
        <w:tc>
          <w:tcPr>
            <w:tcW w:w="1776" w:type="dxa"/>
            <w:tcBorders>
              <w:top w:val="nil"/>
              <w:left w:val="nil"/>
              <w:bottom w:val="nil"/>
              <w:right w:val="nil"/>
            </w:tcBorders>
            <w:vAlign w:val="center"/>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Protoceratium reticulatum </w:t>
            </w:r>
            <w:r>
              <w:rPr>
                <w:sz w:val="18"/>
              </w:rPr>
              <w:t>CCCM 535 CCMP</w:t>
            </w:r>
          </w:p>
          <w:p w:rsidR="00DB17CE" w:rsidRDefault="006265B5">
            <w:pPr>
              <w:spacing w:after="0" w:line="259" w:lineRule="auto"/>
              <w:ind w:left="0" w:firstLine="0"/>
              <w:jc w:val="left"/>
            </w:pPr>
            <w:r>
              <w:rPr>
                <w:sz w:val="18"/>
              </w:rPr>
              <w:t>1889</w:t>
            </w:r>
          </w:p>
        </w:tc>
        <w:tc>
          <w:tcPr>
            <w:tcW w:w="523" w:type="dxa"/>
            <w:tcBorders>
              <w:top w:val="nil"/>
              <w:left w:val="nil"/>
              <w:bottom w:val="nil"/>
              <w:right w:val="nil"/>
            </w:tcBorders>
            <w:vAlign w:val="center"/>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vAlign w:val="center"/>
          </w:tcPr>
          <w:p w:rsidR="00DB17CE" w:rsidRDefault="006265B5">
            <w:pPr>
              <w:spacing w:after="0" w:line="259" w:lineRule="auto"/>
              <w:ind w:left="0" w:firstLine="0"/>
              <w:jc w:val="left"/>
            </w:pPr>
            <w:r>
              <w:rPr>
                <w:sz w:val="18"/>
              </w:rPr>
              <w:t>20</w:t>
            </w:r>
          </w:p>
        </w:tc>
        <w:tc>
          <w:tcPr>
            <w:tcW w:w="523" w:type="dxa"/>
            <w:tcBorders>
              <w:top w:val="nil"/>
              <w:left w:val="nil"/>
              <w:bottom w:val="nil"/>
              <w:right w:val="nil"/>
            </w:tcBorders>
            <w:vAlign w:val="center"/>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vAlign w:val="center"/>
          </w:tcPr>
          <w:p w:rsidR="00DB17CE" w:rsidRDefault="006265B5">
            <w:pPr>
              <w:spacing w:after="0" w:line="259" w:lineRule="auto"/>
              <w:ind w:left="0" w:firstLine="0"/>
              <w:jc w:val="left"/>
            </w:pPr>
            <w:r>
              <w:rPr>
                <w:sz w:val="18"/>
              </w:rPr>
              <w:t>18</w:t>
            </w:r>
          </w:p>
        </w:tc>
        <w:tc>
          <w:tcPr>
            <w:tcW w:w="636" w:type="dxa"/>
            <w:tcBorders>
              <w:top w:val="nil"/>
              <w:left w:val="nil"/>
              <w:bottom w:val="nil"/>
              <w:right w:val="nil"/>
            </w:tcBorders>
            <w:vAlign w:val="center"/>
          </w:tcPr>
          <w:p w:rsidR="00DB17CE" w:rsidRDefault="006265B5">
            <w:pPr>
              <w:spacing w:after="0" w:line="259" w:lineRule="auto"/>
              <w:ind w:left="0" w:firstLine="0"/>
              <w:jc w:val="left"/>
            </w:pPr>
            <w:r>
              <w:rPr>
                <w:sz w:val="18"/>
              </w:rPr>
              <w:t>11</w:t>
            </w:r>
          </w:p>
        </w:tc>
        <w:tc>
          <w:tcPr>
            <w:tcW w:w="523" w:type="dxa"/>
            <w:tcBorders>
              <w:top w:val="nil"/>
              <w:left w:val="nil"/>
              <w:bottom w:val="nil"/>
              <w:right w:val="nil"/>
            </w:tcBorders>
            <w:vAlign w:val="center"/>
          </w:tcPr>
          <w:p w:rsidR="00DB17CE" w:rsidRDefault="006265B5">
            <w:pPr>
              <w:spacing w:after="0" w:line="259" w:lineRule="auto"/>
              <w:ind w:left="0" w:firstLine="0"/>
              <w:jc w:val="left"/>
            </w:pPr>
            <w:r>
              <w:rPr>
                <w:sz w:val="18"/>
              </w:rPr>
              <w:t>10</w:t>
            </w:r>
          </w:p>
        </w:tc>
        <w:tc>
          <w:tcPr>
            <w:tcW w:w="523" w:type="dxa"/>
            <w:tcBorders>
              <w:top w:val="nil"/>
              <w:left w:val="nil"/>
              <w:bottom w:val="nil"/>
              <w:right w:val="nil"/>
            </w:tcBorders>
            <w:vAlign w:val="center"/>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vAlign w:val="center"/>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vAlign w:val="center"/>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Pyrodinium bahamense </w:t>
            </w:r>
            <w:r>
              <w:rPr>
                <w:sz w:val="18"/>
              </w:rPr>
              <w:t>pbaha01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Scrippsiella hangoei </w:t>
            </w:r>
            <w:r>
              <w:rPr>
                <w:sz w:val="18"/>
              </w:rPr>
              <w:t>like SHHI 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Scrippsiella hangoei </w:t>
            </w:r>
            <w:r>
              <w:rPr>
                <w:sz w:val="18"/>
              </w:rPr>
              <w:t>SHTV5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Scrippsiella trochoidea </w:t>
            </w:r>
            <w:r>
              <w:rPr>
                <w:sz w:val="18"/>
              </w:rPr>
              <w:t>CCMP3099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Symbiodinium kawagutii </w:t>
            </w:r>
            <w:r>
              <w:rPr>
                <w:sz w:val="18"/>
              </w:rPr>
              <w:t>CCMP2468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Symbiodinium </w:t>
            </w:r>
            <w:r>
              <w:rPr>
                <w:sz w:val="18"/>
              </w:rPr>
              <w:t>sp. C1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Symbiodinium </w:t>
            </w:r>
            <w:r>
              <w:rPr>
                <w:sz w:val="18"/>
              </w:rPr>
              <w:t>sp. C15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Symbiodinium </w:t>
            </w:r>
            <w:r>
              <w:rPr>
                <w:sz w:val="18"/>
              </w:rPr>
              <w:t>sp. CCMP2430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Symbiodinium </w:t>
            </w:r>
            <w:r>
              <w:rPr>
                <w:sz w:val="18"/>
              </w:rPr>
              <w:t>sp. Mp</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Dinoflagellata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Togula jolla </w:t>
            </w:r>
            <w:r>
              <w:rPr>
                <w:sz w:val="18"/>
              </w:rPr>
              <w:t>CCCM 725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4</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Discosea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Mayorella </w:t>
            </w:r>
            <w:r>
              <w:rPr>
                <w:sz w:val="18"/>
              </w:rPr>
              <w:t>sp. BSH 02190019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Discosea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Neoparamoeba aestuarina </w:t>
            </w:r>
            <w:r>
              <w:rPr>
                <w:sz w:val="18"/>
              </w:rPr>
              <w:t>SoJaBio B1 5 56 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Discosea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Paramoeba atlantica </w:t>
            </w:r>
            <w:r>
              <w:rPr>
                <w:sz w:val="18"/>
              </w:rPr>
              <w:t>621 1 CCAP 1560 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lastRenderedPageBreak/>
              <w:t>Discosea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Pessonella </w:t>
            </w:r>
            <w:r>
              <w:rPr>
                <w:sz w:val="18"/>
              </w:rPr>
              <w:t>sp. PRA 29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Discosea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Stygamoeba regulata </w:t>
            </w:r>
            <w:r>
              <w:rPr>
                <w:sz w:val="18"/>
              </w:rPr>
              <w:t>BSH 02190019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Discosea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Trichosphaerium </w:t>
            </w:r>
            <w:r>
              <w:rPr>
                <w:sz w:val="18"/>
              </w:rPr>
              <w:t>sp. Am I 7 wt</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Eugelnophyta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Eutreptiella gymnastica </w:t>
            </w:r>
            <w:r>
              <w:rPr>
                <w:sz w:val="18"/>
              </w:rPr>
              <w:t>like CCMP1594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Foraminifera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Ammonia </w:t>
            </w:r>
            <w:r>
              <w:rPr>
                <w:sz w:val="18"/>
              </w:rPr>
              <w:t>sp. Unknown</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Foraminifera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Elphidium margaritaceum </w:t>
            </w:r>
            <w:r>
              <w:rPr>
                <w:sz w:val="18"/>
              </w:rPr>
              <w:t>Unknown</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Foraminifera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Rosalina </w:t>
            </w:r>
            <w:r>
              <w:rPr>
                <w:sz w:val="18"/>
              </w:rPr>
              <w:t>sp. Unknown</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Foraminifera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Sorites </w:t>
            </w:r>
            <w:r>
              <w:rPr>
                <w:sz w:val="18"/>
              </w:rPr>
              <w:t>sp. Unknown</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Fungi</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Debaryomyces hansenii </w:t>
            </w:r>
            <w:r>
              <w:rPr>
                <w:sz w:val="18"/>
              </w:rPr>
              <w:t>J26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Glaucophyte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Gloeochaete witrockiana </w:t>
            </w:r>
            <w:r>
              <w:rPr>
                <w:sz w:val="18"/>
              </w:rPr>
              <w:t>SAG46 84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Calcidiscus leptoporus </w:t>
            </w:r>
            <w:r>
              <w:rPr>
                <w:sz w:val="18"/>
              </w:rPr>
              <w:t>RCC1130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Chrysochromulina brevifilum </w:t>
            </w:r>
            <w:r>
              <w:rPr>
                <w:sz w:val="18"/>
              </w:rPr>
              <w:t>UTEX LB 985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Chrysochromulina ericina </w:t>
            </w:r>
            <w:r>
              <w:rPr>
                <w:sz w:val="18"/>
              </w:rPr>
              <w:t>CCMP281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Chrysochromulina polylepis </w:t>
            </w:r>
            <w:r>
              <w:rPr>
                <w:sz w:val="18"/>
              </w:rPr>
              <w:t>CCMP1757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Chrysoculter rhomboideus </w:t>
            </w:r>
            <w:r>
              <w:rPr>
                <w:sz w:val="18"/>
              </w:rPr>
              <w:t>RCC1486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Coccolithus pelagicus </w:t>
            </w:r>
            <w:r>
              <w:rPr>
                <w:sz w:val="18"/>
              </w:rPr>
              <w:t xml:space="preserve">ssp </w:t>
            </w:r>
            <w:r>
              <w:rPr>
                <w:i/>
                <w:sz w:val="18"/>
              </w:rPr>
              <w:t xml:space="preserve">braarudi </w:t>
            </w:r>
            <w:r>
              <w:rPr>
                <w:sz w:val="18"/>
              </w:rPr>
              <w:t>PLY182g</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Emiliania huxleyi </w:t>
            </w:r>
            <w:r>
              <w:rPr>
                <w:sz w:val="18"/>
              </w:rPr>
              <w:t>374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Emiliania huxleyi </w:t>
            </w:r>
            <w:r>
              <w:rPr>
                <w:sz w:val="18"/>
              </w:rPr>
              <w:t>379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Emiliania huxleyi </w:t>
            </w:r>
            <w:r>
              <w:rPr>
                <w:sz w:val="18"/>
              </w:rPr>
              <w:t>CCMP370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Emiliania huxleyi </w:t>
            </w:r>
            <w:r>
              <w:rPr>
                <w:sz w:val="18"/>
              </w:rPr>
              <w:t>PLYM219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Exanthemachrysis gayraliae </w:t>
            </w:r>
            <w:r>
              <w:rPr>
                <w:sz w:val="18"/>
              </w:rPr>
              <w:t>RCC1523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Gephyrocapsa oceanica </w:t>
            </w:r>
            <w:r>
              <w:rPr>
                <w:sz w:val="18"/>
              </w:rPr>
              <w:t>RCC1303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Imantonia </w:t>
            </w:r>
            <w:r>
              <w:rPr>
                <w:sz w:val="18"/>
              </w:rPr>
              <w:t>sp. RCC918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Isochrysis galbana </w:t>
            </w:r>
            <w:r>
              <w:rPr>
                <w:sz w:val="18"/>
              </w:rPr>
              <w:t>CCMP1323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Isochrysis </w:t>
            </w:r>
            <w:r>
              <w:rPr>
                <w:sz w:val="18"/>
              </w:rPr>
              <w:t>sp. CCMP1244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Isochrysis </w:t>
            </w:r>
            <w:r>
              <w:rPr>
                <w:sz w:val="18"/>
              </w:rPr>
              <w:t>sp. CCMP1324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Pavlova </w:t>
            </w:r>
            <w:r>
              <w:rPr>
                <w:sz w:val="18"/>
              </w:rPr>
              <w:t>sp. CCMP459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Phaeocystis antarctica </w:t>
            </w:r>
            <w:r>
              <w:rPr>
                <w:sz w:val="18"/>
              </w:rPr>
              <w:t>Caron Lab Isolate</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Phaeocystis </w:t>
            </w:r>
            <w:r>
              <w:rPr>
                <w:sz w:val="18"/>
              </w:rPr>
              <w:t>sp. CCMP2710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Pleurochrysis carterae </w:t>
            </w:r>
            <w:r>
              <w:rPr>
                <w:sz w:val="18"/>
              </w:rPr>
              <w:t>CCMP645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Prymnesium parvum </w:t>
            </w:r>
            <w:r>
              <w:rPr>
                <w:sz w:val="18"/>
              </w:rPr>
              <w:t>Texoma1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Haptophyte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Scyphosphaera apsteinii </w:t>
            </w:r>
            <w:r>
              <w:rPr>
                <w:sz w:val="18"/>
              </w:rPr>
              <w:t>RCC1455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Heterolobosea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Percolomonas cosmopolitus </w:t>
            </w:r>
            <w:r>
              <w:rPr>
                <w:sz w:val="18"/>
              </w:rPr>
              <w:t>AE 1 ATCC 50343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Heterolobosea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Percolomonas cosmopolitus </w:t>
            </w:r>
            <w:r>
              <w:rPr>
                <w:sz w:val="18"/>
              </w:rPr>
              <w:t>WS</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Khakista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Corethron pennatum </w:t>
            </w:r>
            <w:r>
              <w:rPr>
                <w:sz w:val="18"/>
              </w:rPr>
              <w:t>L29A3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Khakista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Detonula confervacea </w:t>
            </w:r>
            <w:r>
              <w:rPr>
                <w:sz w:val="18"/>
              </w:rPr>
              <w:t>CCMP 353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Kinetoplastida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Neobodo designis </w:t>
            </w:r>
            <w:r>
              <w:rPr>
                <w:sz w:val="18"/>
              </w:rPr>
              <w:t>CCAP 1951 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Labyrinthulida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Aplanochytrium </w:t>
            </w:r>
            <w:r>
              <w:rPr>
                <w:sz w:val="18"/>
              </w:rPr>
              <w:t>sp. PBS07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Labyrinthulida</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Aplanochytrium stocchinoi </w:t>
            </w:r>
            <w:r>
              <w:rPr>
                <w:sz w:val="18"/>
              </w:rPr>
              <w:t>GSBS06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Pelagophyte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Aureococcus anophagefferens </w:t>
            </w:r>
            <w:r>
              <w:rPr>
                <w:sz w:val="18"/>
              </w:rPr>
              <w:t>CCMP1850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Pelagophyte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Aureoumbra lagunensis </w:t>
            </w:r>
            <w:r>
              <w:rPr>
                <w:sz w:val="18"/>
              </w:rPr>
              <w:t>CCMP1510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Pelagophyte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Chrysocystis fragilis </w:t>
            </w:r>
            <w:r>
              <w:rPr>
                <w:sz w:val="18"/>
              </w:rPr>
              <w:t>CCMP3189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24"/>
        </w:trPr>
        <w:tc>
          <w:tcPr>
            <w:tcW w:w="1776" w:type="dxa"/>
            <w:tcBorders>
              <w:top w:val="nil"/>
              <w:left w:val="nil"/>
              <w:bottom w:val="single" w:sz="3" w:space="0" w:color="000000"/>
              <w:right w:val="nil"/>
            </w:tcBorders>
          </w:tcPr>
          <w:p w:rsidR="00DB17CE" w:rsidRDefault="006265B5">
            <w:pPr>
              <w:spacing w:after="0" w:line="259" w:lineRule="auto"/>
              <w:ind w:left="120" w:firstLine="0"/>
              <w:jc w:val="left"/>
            </w:pPr>
            <w:r>
              <w:rPr>
                <w:sz w:val="18"/>
              </w:rPr>
              <w:t>Pelagophyte</w:t>
            </w:r>
          </w:p>
        </w:tc>
        <w:tc>
          <w:tcPr>
            <w:tcW w:w="4208" w:type="dxa"/>
            <w:tcBorders>
              <w:top w:val="nil"/>
              <w:left w:val="nil"/>
              <w:bottom w:val="single" w:sz="3" w:space="0" w:color="000000"/>
              <w:right w:val="nil"/>
            </w:tcBorders>
          </w:tcPr>
          <w:p w:rsidR="00DB17CE" w:rsidRDefault="006265B5">
            <w:pPr>
              <w:spacing w:after="0" w:line="259" w:lineRule="auto"/>
              <w:ind w:left="0" w:firstLine="0"/>
              <w:jc w:val="left"/>
            </w:pPr>
            <w:r>
              <w:rPr>
                <w:i/>
                <w:sz w:val="18"/>
              </w:rPr>
              <w:t xml:space="preserve">Chrysoreinhardia </w:t>
            </w:r>
            <w:r>
              <w:rPr>
                <w:sz w:val="18"/>
              </w:rPr>
              <w:t>sp. CCMP2950</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single" w:sz="3" w:space="0" w:color="000000"/>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single" w:sz="3" w:space="0" w:color="000000"/>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single" w:sz="3" w:space="0" w:color="000000"/>
              <w:right w:val="nil"/>
            </w:tcBorders>
          </w:tcPr>
          <w:p w:rsidR="00DB17CE" w:rsidRDefault="006265B5">
            <w:pPr>
              <w:spacing w:after="0" w:line="259" w:lineRule="auto"/>
              <w:ind w:left="0" w:firstLine="0"/>
              <w:jc w:val="left"/>
            </w:pPr>
            <w:r>
              <w:rPr>
                <w:sz w:val="18"/>
              </w:rPr>
              <w:t>1</w:t>
            </w:r>
          </w:p>
        </w:tc>
      </w:tr>
    </w:tbl>
    <w:p w:rsidR="00DB17CE" w:rsidRDefault="00DB17CE">
      <w:pPr>
        <w:sectPr w:rsidR="00DB17CE">
          <w:headerReference w:type="even" r:id="rId22"/>
          <w:headerReference w:type="default" r:id="rId23"/>
          <w:footerReference w:type="even" r:id="rId24"/>
          <w:footerReference w:type="default" r:id="rId25"/>
          <w:headerReference w:type="first" r:id="rId26"/>
          <w:footerReference w:type="first" r:id="rId27"/>
          <w:pgSz w:w="12240" w:h="15840"/>
          <w:pgMar w:top="1357" w:right="780" w:bottom="1310" w:left="921" w:header="720" w:footer="497" w:gutter="0"/>
          <w:cols w:space="720"/>
          <w:titlePg/>
        </w:sectPr>
      </w:pPr>
    </w:p>
    <w:p w:rsidR="00DB17CE" w:rsidRDefault="00DB17CE">
      <w:pPr>
        <w:spacing w:after="0" w:line="259" w:lineRule="auto"/>
        <w:ind w:left="-850" w:right="11390" w:firstLine="0"/>
        <w:jc w:val="left"/>
      </w:pPr>
    </w:p>
    <w:tbl>
      <w:tblPr>
        <w:tblStyle w:val="TableGrid"/>
        <w:tblW w:w="10681" w:type="dxa"/>
        <w:tblInd w:w="0" w:type="dxa"/>
        <w:tblCellMar>
          <w:top w:w="30" w:type="dxa"/>
          <w:left w:w="0" w:type="dxa"/>
          <w:bottom w:w="0" w:type="dxa"/>
          <w:right w:w="0" w:type="dxa"/>
        </w:tblCellMar>
        <w:tblLook w:val="04A0" w:firstRow="1" w:lastRow="0" w:firstColumn="1" w:lastColumn="0" w:noHBand="0" w:noVBand="1"/>
      </w:tblPr>
      <w:tblGrid>
        <w:gridCol w:w="1775"/>
        <w:gridCol w:w="4206"/>
        <w:gridCol w:w="523"/>
        <w:gridCol w:w="523"/>
        <w:gridCol w:w="523"/>
        <w:gridCol w:w="523"/>
        <w:gridCol w:w="636"/>
        <w:gridCol w:w="523"/>
        <w:gridCol w:w="523"/>
        <w:gridCol w:w="523"/>
        <w:gridCol w:w="403"/>
      </w:tblGrid>
      <w:tr w:rsidR="00DB17CE">
        <w:trPr>
          <w:trHeight w:val="227"/>
        </w:trPr>
        <w:tc>
          <w:tcPr>
            <w:tcW w:w="1776" w:type="dxa"/>
            <w:tcBorders>
              <w:top w:val="single" w:sz="3" w:space="0" w:color="000000"/>
              <w:left w:val="nil"/>
              <w:bottom w:val="single" w:sz="3" w:space="0" w:color="000000"/>
              <w:right w:val="nil"/>
            </w:tcBorders>
          </w:tcPr>
          <w:p w:rsidR="00DB17CE" w:rsidRDefault="006265B5">
            <w:pPr>
              <w:spacing w:after="0" w:line="259" w:lineRule="auto"/>
              <w:ind w:left="120" w:firstLine="0"/>
              <w:jc w:val="left"/>
            </w:pPr>
            <w:r>
              <w:rPr>
                <w:sz w:val="18"/>
              </w:rPr>
              <w:t>clade</w:t>
            </w:r>
          </w:p>
        </w:tc>
        <w:tc>
          <w:tcPr>
            <w:tcW w:w="4208" w:type="dxa"/>
            <w:tcBorders>
              <w:top w:val="single" w:sz="3" w:space="0" w:color="000000"/>
              <w:left w:val="nil"/>
              <w:bottom w:val="single" w:sz="3" w:space="0" w:color="000000"/>
              <w:right w:val="nil"/>
            </w:tcBorders>
          </w:tcPr>
          <w:p w:rsidR="00DB17CE" w:rsidRDefault="006265B5">
            <w:pPr>
              <w:spacing w:after="0" w:line="259" w:lineRule="auto"/>
              <w:ind w:left="0" w:firstLine="0"/>
              <w:jc w:val="left"/>
            </w:pPr>
            <w:r>
              <w:rPr>
                <w:sz w:val="18"/>
              </w:rPr>
              <w:t>species</w:t>
            </w: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636" w:type="dxa"/>
            <w:tcBorders>
              <w:top w:val="single" w:sz="3" w:space="0" w:color="000000"/>
              <w:left w:val="nil"/>
              <w:bottom w:val="single" w:sz="3" w:space="0" w:color="000000"/>
              <w:right w:val="nil"/>
            </w:tcBorders>
          </w:tcPr>
          <w:p w:rsidR="00DB17CE" w:rsidRDefault="006265B5">
            <w:pPr>
              <w:spacing w:after="0" w:line="259" w:lineRule="auto"/>
              <w:ind w:left="-2090" w:right="-2044" w:firstLine="0"/>
              <w:jc w:val="center"/>
            </w:pPr>
            <w:r>
              <w:rPr>
                <w:sz w:val="18"/>
              </w:rPr>
              <w:t>TOP1TOP2TOP3MCM PCNA RPA1 RPA2 RPA3 RFC1</w:t>
            </w: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vAlign w:val="bottom"/>
          </w:tcPr>
          <w:p w:rsidR="00DB17CE" w:rsidRDefault="00DB17CE">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c>
          <w:tcPr>
            <w:tcW w:w="403" w:type="dxa"/>
            <w:tcBorders>
              <w:top w:val="single" w:sz="3" w:space="0" w:color="000000"/>
              <w:left w:val="nil"/>
              <w:bottom w:val="single" w:sz="3" w:space="0" w:color="000000"/>
              <w:right w:val="nil"/>
            </w:tcBorders>
          </w:tcPr>
          <w:p w:rsidR="00DB17CE" w:rsidRDefault="00DB17CE">
            <w:pPr>
              <w:spacing w:after="160" w:line="259" w:lineRule="auto"/>
              <w:ind w:left="0" w:firstLine="0"/>
              <w:jc w:val="left"/>
            </w:pPr>
          </w:p>
        </w:tc>
      </w:tr>
      <w:tr w:rsidR="00DB17CE">
        <w:trPr>
          <w:trHeight w:val="222"/>
        </w:trPr>
        <w:tc>
          <w:tcPr>
            <w:tcW w:w="1776" w:type="dxa"/>
            <w:tcBorders>
              <w:top w:val="single" w:sz="3" w:space="0" w:color="000000"/>
              <w:left w:val="nil"/>
              <w:bottom w:val="nil"/>
              <w:right w:val="nil"/>
            </w:tcBorders>
          </w:tcPr>
          <w:p w:rsidR="00DB17CE" w:rsidRDefault="006265B5">
            <w:pPr>
              <w:spacing w:after="0" w:line="259" w:lineRule="auto"/>
              <w:ind w:left="120" w:firstLine="0"/>
              <w:jc w:val="left"/>
            </w:pPr>
            <w:r>
              <w:rPr>
                <w:sz w:val="18"/>
              </w:rPr>
              <w:t>Pelagophyte</w:t>
            </w:r>
          </w:p>
        </w:tc>
        <w:tc>
          <w:tcPr>
            <w:tcW w:w="4208" w:type="dxa"/>
            <w:tcBorders>
              <w:top w:val="single" w:sz="3" w:space="0" w:color="000000"/>
              <w:left w:val="nil"/>
              <w:bottom w:val="nil"/>
              <w:right w:val="nil"/>
            </w:tcBorders>
          </w:tcPr>
          <w:p w:rsidR="00DB17CE" w:rsidRDefault="006265B5">
            <w:pPr>
              <w:spacing w:after="0" w:line="259" w:lineRule="auto"/>
              <w:ind w:left="0" w:firstLine="0"/>
              <w:jc w:val="left"/>
            </w:pPr>
            <w:r>
              <w:rPr>
                <w:i/>
                <w:sz w:val="18"/>
              </w:rPr>
              <w:t xml:space="preserve">Chrysoreinhardia </w:t>
            </w:r>
            <w:r>
              <w:rPr>
                <w:sz w:val="18"/>
              </w:rPr>
              <w:t>sp. CCMP3193</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10</w:t>
            </w:r>
          </w:p>
        </w:tc>
        <w:tc>
          <w:tcPr>
            <w:tcW w:w="636" w:type="dxa"/>
            <w:tcBorders>
              <w:top w:val="single" w:sz="3" w:space="0" w:color="000000"/>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single" w:sz="3" w:space="0" w:color="000000"/>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Pelagophyte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Pelagomonas calceolata </w:t>
            </w:r>
            <w:r>
              <w:rPr>
                <w:sz w:val="18"/>
              </w:rPr>
              <w:t>CCMP1756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Pelagophyte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Sarcinochrysis </w:t>
            </w:r>
            <w:r>
              <w:rPr>
                <w:sz w:val="18"/>
              </w:rPr>
              <w:t>sp. CCMP770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Perkinsid</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Perkinsus chesapeaki </w:t>
            </w:r>
            <w:r>
              <w:rPr>
                <w:sz w:val="18"/>
              </w:rPr>
              <w:t>ATCC PRA 65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Perkinsid</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Perkinsus marinus </w:t>
            </w:r>
            <w:r>
              <w:rPr>
                <w:sz w:val="18"/>
              </w:rPr>
              <w:t>ATCC50439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Pinguiophyte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Phaeomonas parva </w:t>
            </w:r>
            <w:r>
              <w:rPr>
                <w:sz w:val="18"/>
              </w:rPr>
              <w:t>CCMP2877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Pinguiophyte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Pinguiococcus pyrenoidosus </w:t>
            </w:r>
            <w:r>
              <w:rPr>
                <w:sz w:val="18"/>
              </w:rPr>
              <w:t>CCMP2078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Raphidophyte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Chattonella subsalsa </w:t>
            </w:r>
            <w:r>
              <w:rPr>
                <w:sz w:val="18"/>
              </w:rPr>
              <w:t>CCMP2191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Raphidophyte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Fibrocapsa japonica </w:t>
            </w:r>
            <w:r>
              <w:rPr>
                <w:sz w:val="18"/>
              </w:rPr>
              <w:t>CCMP1661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Raphidophyte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Heterosigma akashiwo </w:t>
            </w:r>
            <w:r>
              <w:rPr>
                <w:sz w:val="18"/>
              </w:rPr>
              <w:t>CCMP2393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Raphidophyte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Heterosigma akashiwo </w:t>
            </w:r>
            <w:r>
              <w:rPr>
                <w:sz w:val="18"/>
              </w:rPr>
              <w:t>CCMP3107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Raphidophyte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Heterosigma akashiwo </w:t>
            </w:r>
            <w:r>
              <w:rPr>
                <w:sz w:val="18"/>
              </w:rPr>
              <w:t>CCMP452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Raphidophyte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Heterosigma akashiwo </w:t>
            </w:r>
            <w:r>
              <w:rPr>
                <w:sz w:val="18"/>
              </w:rPr>
              <w:t>NB</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Rhodophyte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Compsopogon coeruleus </w:t>
            </w:r>
            <w:r>
              <w:rPr>
                <w:sz w:val="18"/>
              </w:rPr>
              <w:t>SAG 36.94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11</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Rhodophyte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Erythrolobus australicus </w:t>
            </w:r>
            <w:r>
              <w:rPr>
                <w:sz w:val="18"/>
              </w:rPr>
              <w:t>CCMP3124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Rhodophyte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Erythrolobus madagascarensis </w:t>
            </w:r>
            <w:r>
              <w:rPr>
                <w:sz w:val="18"/>
              </w:rPr>
              <w:t>CCMP3276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Rhodophyte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Madagascaria erythrocladiodes </w:t>
            </w:r>
            <w:r>
              <w:rPr>
                <w:sz w:val="18"/>
              </w:rPr>
              <w:t>CCMP3234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Rhodophyte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Porphyridium aerugineum </w:t>
            </w:r>
            <w:r>
              <w:rPr>
                <w:sz w:val="18"/>
              </w:rPr>
              <w:t>SAG 1380 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Rhodophyte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Rhodella maculata </w:t>
            </w:r>
            <w:r>
              <w:rPr>
                <w:sz w:val="18"/>
              </w:rPr>
              <w:t>CCMP736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Rhodophyte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Rhodosorus marinus </w:t>
            </w:r>
            <w:r>
              <w:rPr>
                <w:sz w:val="18"/>
              </w:rPr>
              <w:t>CCMP 769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17</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2</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Rhodophyte</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Timspurckia oligopyrenoides </w:t>
            </w:r>
            <w:r>
              <w:rPr>
                <w:sz w:val="18"/>
              </w:rPr>
              <w:t>CCMP3278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Silicoflagellates</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Dictyocha speculum </w:t>
            </w:r>
            <w:r>
              <w:rPr>
                <w:sz w:val="18"/>
              </w:rPr>
              <w:t>CCMP1381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Silicoflagellates</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Pseudopedinella elastica </w:t>
            </w:r>
            <w:r>
              <w:rPr>
                <w:sz w:val="18"/>
              </w:rPr>
              <w:t>CCMP716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Silicoflagellates</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Pteridomonas danica </w:t>
            </w:r>
            <w:r>
              <w:rPr>
                <w:sz w:val="18"/>
              </w:rPr>
              <w:t>PT</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1776" w:type="dxa"/>
            <w:tcBorders>
              <w:top w:val="nil"/>
              <w:left w:val="nil"/>
              <w:bottom w:val="nil"/>
              <w:right w:val="nil"/>
            </w:tcBorders>
          </w:tcPr>
          <w:p w:rsidR="00DB17CE" w:rsidRDefault="006265B5">
            <w:pPr>
              <w:spacing w:after="0" w:line="259" w:lineRule="auto"/>
              <w:ind w:left="120" w:firstLine="0"/>
              <w:jc w:val="left"/>
            </w:pPr>
            <w:r>
              <w:rPr>
                <w:sz w:val="18"/>
              </w:rPr>
              <w:t>Silicoflagellates</w:t>
            </w:r>
          </w:p>
        </w:tc>
        <w:tc>
          <w:tcPr>
            <w:tcW w:w="4208" w:type="dxa"/>
            <w:tcBorders>
              <w:top w:val="nil"/>
              <w:left w:val="nil"/>
              <w:bottom w:val="nil"/>
              <w:right w:val="nil"/>
            </w:tcBorders>
          </w:tcPr>
          <w:p w:rsidR="00DB17CE" w:rsidRDefault="006265B5">
            <w:pPr>
              <w:spacing w:after="0" w:line="259" w:lineRule="auto"/>
              <w:ind w:left="0" w:firstLine="0"/>
              <w:jc w:val="left"/>
            </w:pPr>
            <w:r>
              <w:rPr>
                <w:i/>
                <w:sz w:val="18"/>
              </w:rPr>
              <w:t xml:space="preserve">Rhizochromulina marina </w:t>
            </w:r>
            <w:r>
              <w:rPr>
                <w:sz w:val="18"/>
              </w:rPr>
              <w:t>cf CCMP1243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5</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spacing w:after="0" w:line="259" w:lineRule="auto"/>
              <w:ind w:left="120" w:firstLine="0"/>
              <w:jc w:val="left"/>
            </w:pPr>
            <w:r>
              <w:rPr>
                <w:sz w:val="18"/>
              </w:rPr>
              <w:t xml:space="preserve">Synchromophyceae </w:t>
            </w:r>
            <w:r>
              <w:rPr>
                <w:i/>
                <w:sz w:val="18"/>
              </w:rPr>
              <w:t xml:space="preserve">Synchroma pusillum </w:t>
            </w:r>
            <w:r>
              <w:rPr>
                <w:sz w:val="18"/>
              </w:rPr>
              <w:t>CCMP3072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tabs>
                <w:tab w:val="center" w:pos="521"/>
                <w:tab w:val="center" w:pos="2834"/>
              </w:tabs>
              <w:spacing w:after="0" w:line="259" w:lineRule="auto"/>
              <w:ind w:left="0" w:firstLine="0"/>
              <w:jc w:val="left"/>
            </w:pPr>
            <w:r>
              <w:rPr>
                <w:rFonts w:ascii="Calibri" w:eastAsia="Calibri" w:hAnsi="Calibri" w:cs="Calibri"/>
                <w:sz w:val="22"/>
              </w:rPr>
              <w:tab/>
            </w:r>
            <w:r>
              <w:rPr>
                <w:sz w:val="18"/>
              </w:rPr>
              <w:t>Syndinian</w:t>
            </w:r>
            <w:r>
              <w:rPr>
                <w:sz w:val="18"/>
              </w:rPr>
              <w:tab/>
            </w:r>
            <w:r>
              <w:rPr>
                <w:i/>
                <w:sz w:val="18"/>
              </w:rPr>
              <w:t xml:space="preserve">Amoebophrya </w:t>
            </w:r>
            <w:r>
              <w:rPr>
                <w:sz w:val="18"/>
              </w:rPr>
              <w:t>sp. Ameob2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8</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0</w:t>
            </w:r>
          </w:p>
        </w:tc>
      </w:tr>
      <w:tr w:rsidR="00DB17CE">
        <w:trPr>
          <w:trHeight w:val="219"/>
        </w:trPr>
        <w:tc>
          <w:tcPr>
            <w:tcW w:w="5983" w:type="dxa"/>
            <w:gridSpan w:val="2"/>
            <w:tcBorders>
              <w:top w:val="nil"/>
              <w:left w:val="nil"/>
              <w:bottom w:val="nil"/>
              <w:right w:val="nil"/>
            </w:tcBorders>
          </w:tcPr>
          <w:p w:rsidR="00DB17CE" w:rsidRDefault="006265B5">
            <w:pPr>
              <w:tabs>
                <w:tab w:val="center" w:pos="776"/>
                <w:tab w:val="center" w:pos="3634"/>
              </w:tabs>
              <w:spacing w:after="0" w:line="259" w:lineRule="auto"/>
              <w:ind w:left="0" w:firstLine="0"/>
              <w:jc w:val="left"/>
            </w:pPr>
            <w:r>
              <w:rPr>
                <w:rFonts w:ascii="Calibri" w:eastAsia="Calibri" w:hAnsi="Calibri" w:cs="Calibri"/>
                <w:sz w:val="22"/>
              </w:rPr>
              <w:tab/>
            </w:r>
            <w:r>
              <w:rPr>
                <w:sz w:val="18"/>
              </w:rPr>
              <w:t>Thraustochytrid</w:t>
            </w:r>
            <w:r>
              <w:rPr>
                <w:sz w:val="18"/>
              </w:rPr>
              <w:tab/>
            </w:r>
            <w:r>
              <w:rPr>
                <w:i/>
                <w:sz w:val="18"/>
              </w:rPr>
              <w:t xml:space="preserve">Aurantiochytrium limacinum </w:t>
            </w:r>
            <w:r>
              <w:rPr>
                <w:sz w:val="18"/>
              </w:rPr>
              <w:t>ATCCMYA1381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tabs>
                <w:tab w:val="center" w:pos="776"/>
                <w:tab w:val="center" w:pos="3392"/>
              </w:tabs>
              <w:spacing w:after="0" w:line="259" w:lineRule="auto"/>
              <w:ind w:left="0" w:firstLine="0"/>
              <w:jc w:val="left"/>
            </w:pPr>
            <w:r>
              <w:rPr>
                <w:rFonts w:ascii="Calibri" w:eastAsia="Calibri" w:hAnsi="Calibri" w:cs="Calibri"/>
                <w:sz w:val="22"/>
              </w:rPr>
              <w:tab/>
            </w:r>
            <w:r>
              <w:rPr>
                <w:sz w:val="18"/>
              </w:rPr>
              <w:t>Thraustochytrid</w:t>
            </w:r>
            <w:r>
              <w:rPr>
                <w:sz w:val="18"/>
              </w:rPr>
              <w:tab/>
            </w:r>
            <w:r>
              <w:rPr>
                <w:i/>
                <w:sz w:val="18"/>
              </w:rPr>
              <w:t xml:space="preserve">Schizochytrium aggregatum </w:t>
            </w:r>
            <w:r>
              <w:rPr>
                <w:sz w:val="18"/>
              </w:rPr>
              <w:t>ATCC28209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tabs>
                <w:tab w:val="center" w:pos="776"/>
                <w:tab w:val="center" w:pos="2951"/>
              </w:tabs>
              <w:spacing w:after="0" w:line="259" w:lineRule="auto"/>
              <w:ind w:left="0" w:firstLine="0"/>
              <w:jc w:val="left"/>
            </w:pPr>
            <w:r>
              <w:rPr>
                <w:rFonts w:ascii="Calibri" w:eastAsia="Calibri" w:hAnsi="Calibri" w:cs="Calibri"/>
                <w:sz w:val="22"/>
              </w:rPr>
              <w:tab/>
            </w:r>
            <w:r>
              <w:rPr>
                <w:sz w:val="18"/>
              </w:rPr>
              <w:t>Thraustochytrid</w:t>
            </w:r>
            <w:r>
              <w:rPr>
                <w:sz w:val="18"/>
              </w:rPr>
              <w:tab/>
            </w:r>
            <w:r>
              <w:rPr>
                <w:i/>
                <w:sz w:val="18"/>
              </w:rPr>
              <w:t xml:space="preserve">Thraustochytrium </w:t>
            </w:r>
            <w:r>
              <w:rPr>
                <w:sz w:val="18"/>
              </w:rPr>
              <w:t>sp. LLF1b</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tabs>
                <w:tab w:val="center" w:pos="511"/>
                <w:tab w:val="center" w:pos="3035"/>
              </w:tabs>
              <w:spacing w:after="0" w:line="259" w:lineRule="auto"/>
              <w:ind w:left="0" w:firstLine="0"/>
              <w:jc w:val="left"/>
            </w:pPr>
            <w:r>
              <w:rPr>
                <w:rFonts w:ascii="Calibri" w:eastAsia="Calibri" w:hAnsi="Calibri" w:cs="Calibri"/>
                <w:sz w:val="22"/>
              </w:rPr>
              <w:tab/>
            </w:r>
            <w:r>
              <w:rPr>
                <w:sz w:val="18"/>
              </w:rPr>
              <w:t>Tubulinid</w:t>
            </w:r>
            <w:r>
              <w:rPr>
                <w:sz w:val="18"/>
              </w:rPr>
              <w:tab/>
            </w:r>
            <w:r>
              <w:rPr>
                <w:i/>
                <w:sz w:val="18"/>
              </w:rPr>
              <w:t xml:space="preserve">Filamoeba nolandi </w:t>
            </w:r>
            <w:r>
              <w:rPr>
                <w:sz w:val="18"/>
              </w:rPr>
              <w:t>NC AS 23 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4</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tabs>
                <w:tab w:val="center" w:pos="511"/>
                <w:tab w:val="center" w:pos="2971"/>
              </w:tabs>
              <w:spacing w:after="0" w:line="259" w:lineRule="auto"/>
              <w:ind w:left="0" w:firstLine="0"/>
              <w:jc w:val="left"/>
            </w:pPr>
            <w:r>
              <w:rPr>
                <w:rFonts w:ascii="Calibri" w:eastAsia="Calibri" w:hAnsi="Calibri" w:cs="Calibri"/>
                <w:sz w:val="22"/>
              </w:rPr>
              <w:tab/>
            </w:r>
            <w:r>
              <w:rPr>
                <w:sz w:val="18"/>
              </w:rPr>
              <w:t>Tubulinid</w:t>
            </w:r>
            <w:r>
              <w:rPr>
                <w:sz w:val="18"/>
              </w:rPr>
              <w:tab/>
            </w:r>
            <w:r>
              <w:rPr>
                <w:i/>
                <w:sz w:val="18"/>
              </w:rPr>
              <w:t xml:space="preserve">Sexangularia </w:t>
            </w:r>
            <w:r>
              <w:rPr>
                <w:sz w:val="18"/>
              </w:rPr>
              <w:t>sp. ATCC50979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7</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14</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3</w:t>
            </w:r>
          </w:p>
        </w:tc>
      </w:tr>
      <w:tr w:rsidR="00DB17CE">
        <w:trPr>
          <w:trHeight w:val="219"/>
        </w:trPr>
        <w:tc>
          <w:tcPr>
            <w:tcW w:w="5983" w:type="dxa"/>
            <w:gridSpan w:val="2"/>
            <w:tcBorders>
              <w:top w:val="nil"/>
              <w:left w:val="nil"/>
              <w:bottom w:val="nil"/>
              <w:right w:val="nil"/>
            </w:tcBorders>
          </w:tcPr>
          <w:p w:rsidR="00DB17CE" w:rsidRDefault="006265B5">
            <w:pPr>
              <w:tabs>
                <w:tab w:val="center" w:pos="524"/>
                <w:tab w:val="center" w:pos="3288"/>
              </w:tabs>
              <w:spacing w:after="0" w:line="259" w:lineRule="auto"/>
              <w:ind w:left="0" w:firstLine="0"/>
              <w:jc w:val="left"/>
            </w:pPr>
            <w:r>
              <w:rPr>
                <w:rFonts w:ascii="Calibri" w:eastAsia="Calibri" w:hAnsi="Calibri" w:cs="Calibri"/>
                <w:sz w:val="22"/>
              </w:rPr>
              <w:tab/>
            </w:r>
            <w:r>
              <w:rPr>
                <w:sz w:val="18"/>
              </w:rPr>
              <w:t>Vanellinid</w:t>
            </w:r>
            <w:r>
              <w:rPr>
                <w:sz w:val="18"/>
              </w:rPr>
              <w:tab/>
            </w:r>
            <w:r>
              <w:rPr>
                <w:i/>
                <w:sz w:val="18"/>
              </w:rPr>
              <w:t xml:space="preserve">Vannella robusta </w:t>
            </w:r>
            <w:r>
              <w:rPr>
                <w:sz w:val="18"/>
              </w:rPr>
              <w:t>DIVA3 518 3 11 1 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3</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219"/>
        </w:trPr>
        <w:tc>
          <w:tcPr>
            <w:tcW w:w="5983" w:type="dxa"/>
            <w:gridSpan w:val="2"/>
            <w:tcBorders>
              <w:top w:val="nil"/>
              <w:left w:val="nil"/>
              <w:bottom w:val="nil"/>
              <w:right w:val="nil"/>
            </w:tcBorders>
          </w:tcPr>
          <w:p w:rsidR="00DB17CE" w:rsidRDefault="006265B5">
            <w:pPr>
              <w:tabs>
                <w:tab w:val="center" w:pos="524"/>
                <w:tab w:val="center" w:pos="2967"/>
              </w:tabs>
              <w:spacing w:after="0" w:line="259" w:lineRule="auto"/>
              <w:ind w:left="0" w:firstLine="0"/>
              <w:jc w:val="left"/>
            </w:pPr>
            <w:r>
              <w:rPr>
                <w:rFonts w:ascii="Calibri" w:eastAsia="Calibri" w:hAnsi="Calibri" w:cs="Calibri"/>
                <w:sz w:val="22"/>
              </w:rPr>
              <w:tab/>
            </w:r>
            <w:r>
              <w:rPr>
                <w:sz w:val="18"/>
              </w:rPr>
              <w:t>Vanellinid</w:t>
            </w:r>
            <w:r>
              <w:rPr>
                <w:sz w:val="18"/>
              </w:rPr>
              <w:tab/>
            </w:r>
            <w:r>
              <w:rPr>
                <w:i/>
                <w:sz w:val="18"/>
              </w:rPr>
              <w:t xml:space="preserve">Vannella </w:t>
            </w:r>
            <w:r>
              <w:rPr>
                <w:sz w:val="18"/>
              </w:rPr>
              <w:t>sp. DIVA3 517 6 12</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6</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9</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13</w:t>
            </w:r>
          </w:p>
        </w:tc>
        <w:tc>
          <w:tcPr>
            <w:tcW w:w="636"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0</w:t>
            </w:r>
          </w:p>
        </w:tc>
        <w:tc>
          <w:tcPr>
            <w:tcW w:w="523" w:type="dxa"/>
            <w:tcBorders>
              <w:top w:val="nil"/>
              <w:left w:val="nil"/>
              <w:bottom w:val="nil"/>
              <w:right w:val="nil"/>
            </w:tcBorders>
          </w:tcPr>
          <w:p w:rsidR="00DB17CE" w:rsidRDefault="006265B5">
            <w:pPr>
              <w:spacing w:after="0" w:line="259" w:lineRule="auto"/>
              <w:ind w:left="0" w:firstLine="0"/>
              <w:jc w:val="left"/>
            </w:pPr>
            <w:r>
              <w:rPr>
                <w:sz w:val="18"/>
              </w:rPr>
              <w:t>1</w:t>
            </w:r>
          </w:p>
        </w:tc>
        <w:tc>
          <w:tcPr>
            <w:tcW w:w="403" w:type="dxa"/>
            <w:tcBorders>
              <w:top w:val="nil"/>
              <w:left w:val="nil"/>
              <w:bottom w:val="nil"/>
              <w:right w:val="nil"/>
            </w:tcBorders>
          </w:tcPr>
          <w:p w:rsidR="00DB17CE" w:rsidRDefault="006265B5">
            <w:pPr>
              <w:spacing w:after="0" w:line="259" w:lineRule="auto"/>
              <w:ind w:left="0" w:firstLine="0"/>
              <w:jc w:val="left"/>
            </w:pPr>
            <w:r>
              <w:rPr>
                <w:sz w:val="18"/>
              </w:rPr>
              <w:t>1</w:t>
            </w:r>
          </w:p>
        </w:tc>
      </w:tr>
      <w:tr w:rsidR="00DB17CE">
        <w:trPr>
          <w:trHeight w:val="443"/>
        </w:trPr>
        <w:tc>
          <w:tcPr>
            <w:tcW w:w="10681" w:type="dxa"/>
            <w:gridSpan w:val="11"/>
            <w:tcBorders>
              <w:top w:val="nil"/>
              <w:left w:val="nil"/>
              <w:bottom w:val="single" w:sz="3" w:space="0" w:color="000000"/>
              <w:right w:val="nil"/>
            </w:tcBorders>
          </w:tcPr>
          <w:p w:rsidR="00DB17CE" w:rsidRDefault="006265B5">
            <w:pPr>
              <w:tabs>
                <w:tab w:val="center" w:pos="591"/>
                <w:tab w:val="center" w:pos="2963"/>
                <w:tab w:val="center" w:pos="6030"/>
                <w:tab w:val="center" w:pos="6552"/>
                <w:tab w:val="center" w:pos="7075"/>
                <w:tab w:val="center" w:pos="7597"/>
                <w:tab w:val="center" w:pos="8120"/>
                <w:tab w:val="center" w:pos="8756"/>
                <w:tab w:val="center" w:pos="9278"/>
                <w:tab w:val="center" w:pos="9801"/>
                <w:tab w:val="center" w:pos="10324"/>
              </w:tabs>
              <w:spacing w:after="0" w:line="259" w:lineRule="auto"/>
              <w:ind w:left="0" w:firstLine="0"/>
              <w:jc w:val="left"/>
            </w:pPr>
            <w:r>
              <w:rPr>
                <w:rFonts w:ascii="Calibri" w:eastAsia="Calibri" w:hAnsi="Calibri" w:cs="Calibri"/>
                <w:sz w:val="22"/>
              </w:rPr>
              <w:tab/>
            </w:r>
            <w:r>
              <w:rPr>
                <w:sz w:val="18"/>
              </w:rPr>
              <w:t>Xantophyte</w:t>
            </w:r>
            <w:r>
              <w:rPr>
                <w:sz w:val="18"/>
              </w:rPr>
              <w:tab/>
            </w:r>
            <w:r>
              <w:rPr>
                <w:i/>
                <w:sz w:val="18"/>
              </w:rPr>
              <w:t xml:space="preserve">Vaucheria litorea </w:t>
            </w:r>
            <w:r>
              <w:rPr>
                <w:sz w:val="18"/>
              </w:rPr>
              <w:t>CCMP2940</w:t>
            </w:r>
            <w:r>
              <w:rPr>
                <w:sz w:val="18"/>
              </w:rPr>
              <w:tab/>
              <w:t>1</w:t>
            </w:r>
            <w:r>
              <w:rPr>
                <w:sz w:val="18"/>
              </w:rPr>
              <w:tab/>
              <w:t>2</w:t>
            </w:r>
            <w:r>
              <w:rPr>
                <w:sz w:val="18"/>
              </w:rPr>
              <w:tab/>
              <w:t>0</w:t>
            </w:r>
            <w:r>
              <w:rPr>
                <w:sz w:val="18"/>
              </w:rPr>
              <w:tab/>
              <w:t>6</w:t>
            </w:r>
            <w:r>
              <w:rPr>
                <w:sz w:val="18"/>
              </w:rPr>
              <w:tab/>
              <w:t>1</w:t>
            </w:r>
            <w:r>
              <w:rPr>
                <w:sz w:val="18"/>
              </w:rPr>
              <w:tab/>
              <w:t>1</w:t>
            </w:r>
            <w:r>
              <w:rPr>
                <w:sz w:val="18"/>
              </w:rPr>
              <w:tab/>
              <w:t>0</w:t>
            </w:r>
            <w:r>
              <w:rPr>
                <w:sz w:val="18"/>
              </w:rPr>
              <w:tab/>
              <w:t>1</w:t>
            </w:r>
            <w:r>
              <w:rPr>
                <w:sz w:val="18"/>
              </w:rPr>
              <w:tab/>
              <w:t>1</w:t>
            </w:r>
          </w:p>
        </w:tc>
      </w:tr>
    </w:tbl>
    <w:p w:rsidR="00DB17CE" w:rsidRDefault="006265B5">
      <w:pPr>
        <w:pStyle w:val="Heading2"/>
        <w:spacing w:after="163"/>
      </w:pPr>
      <w:r>
        <w:lastRenderedPageBreak/>
        <w:t>Supplementary Figures</w:t>
      </w:r>
    </w:p>
    <w:p w:rsidR="00DB17CE" w:rsidRDefault="006265B5">
      <w:pPr>
        <w:spacing w:after="428" w:line="259" w:lineRule="auto"/>
        <w:ind w:left="2435" w:firstLine="0"/>
        <w:jc w:val="left"/>
      </w:pPr>
      <w:r>
        <w:rPr>
          <w:noProof/>
        </w:rPr>
        <w:drawing>
          <wp:inline distT="0" distB="0" distL="0" distR="0">
            <wp:extent cx="3600033" cy="4115926"/>
            <wp:effectExtent l="0" t="0" r="0" b="0"/>
            <wp:docPr id="2950" name="Picture 2950"/>
            <wp:cNvGraphicFramePr/>
            <a:graphic xmlns:a="http://schemas.openxmlformats.org/drawingml/2006/main">
              <a:graphicData uri="http://schemas.openxmlformats.org/drawingml/2006/picture">
                <pic:pic xmlns:pic="http://schemas.openxmlformats.org/drawingml/2006/picture">
                  <pic:nvPicPr>
                    <pic:cNvPr id="2950" name="Picture 2950"/>
                    <pic:cNvPicPr/>
                  </pic:nvPicPr>
                  <pic:blipFill>
                    <a:blip r:embed="rId28"/>
                    <a:stretch>
                      <a:fillRect/>
                    </a:stretch>
                  </pic:blipFill>
                  <pic:spPr>
                    <a:xfrm>
                      <a:off x="0" y="0"/>
                      <a:ext cx="3600033" cy="4115926"/>
                    </a:xfrm>
                    <a:prstGeom prst="rect">
                      <a:avLst/>
                    </a:prstGeom>
                  </pic:spPr>
                </pic:pic>
              </a:graphicData>
            </a:graphic>
          </wp:inline>
        </w:drawing>
      </w:r>
    </w:p>
    <w:p w:rsidR="00DB17CE" w:rsidRDefault="006265B5">
      <w:pPr>
        <w:spacing w:after="228" w:line="239" w:lineRule="auto"/>
        <w:ind w:left="-5" w:right="-15"/>
      </w:pPr>
      <w:r>
        <w:rPr>
          <w:b/>
        </w:rPr>
        <w:t xml:space="preserve">Supplementary Figure 1: Cumulative distribution of scaffolds and pseudochromosome sizes before and after Hi-C scaffolding of the draft </w:t>
      </w:r>
      <w:r>
        <w:rPr>
          <w:rFonts w:ascii="Calibri" w:eastAsia="Calibri" w:hAnsi="Calibri" w:cs="Calibri"/>
          <w:i/>
        </w:rPr>
        <w:t>Breviolum</w:t>
      </w:r>
      <w:r>
        <w:rPr>
          <w:b/>
        </w:rPr>
        <w:t>/</w:t>
      </w:r>
      <w:r>
        <w:rPr>
          <w:rFonts w:ascii="Calibri" w:eastAsia="Calibri" w:hAnsi="Calibri" w:cs="Calibri"/>
          <w:i/>
        </w:rPr>
        <w:t xml:space="preserve">Symbiodinium minutum </w:t>
      </w:r>
      <w:r>
        <w:rPr>
          <w:b/>
        </w:rPr>
        <w:t>assembly (20)</w:t>
      </w:r>
      <w:r>
        <w:t xml:space="preserve">. 3D DNA(21) scaffolding of the assembly results in </w:t>
      </w:r>
      <w:r>
        <w:t xml:space="preserve">91 major pseudochromosomes </w:t>
      </w:r>
      <w:r>
        <w:t>≥</w:t>
      </w:r>
      <w:r>
        <w:t xml:space="preserve">500kb encompassing </w:t>
      </w:r>
      <w:r>
        <w:t>∼</w:t>
      </w:r>
      <w:r>
        <w:t>94% of the assembled sequence.</w:t>
      </w:r>
    </w:p>
    <w:p w:rsidR="00DB17CE" w:rsidRDefault="006265B5">
      <w:pPr>
        <w:spacing w:after="428" w:line="259" w:lineRule="auto"/>
        <w:ind w:left="734" w:firstLine="0"/>
        <w:jc w:val="left"/>
      </w:pPr>
      <w:r>
        <w:rPr>
          <w:noProof/>
        </w:rPr>
        <w:lastRenderedPageBreak/>
        <w:drawing>
          <wp:inline distT="0" distB="0" distL="0" distR="0">
            <wp:extent cx="5760074" cy="6283717"/>
            <wp:effectExtent l="0" t="0" r="0" b="0"/>
            <wp:docPr id="2975" name="Picture 2975"/>
            <wp:cNvGraphicFramePr/>
            <a:graphic xmlns:a="http://schemas.openxmlformats.org/drawingml/2006/main">
              <a:graphicData uri="http://schemas.openxmlformats.org/drawingml/2006/picture">
                <pic:pic xmlns:pic="http://schemas.openxmlformats.org/drawingml/2006/picture">
                  <pic:nvPicPr>
                    <pic:cNvPr id="2975" name="Picture 2975"/>
                    <pic:cNvPicPr/>
                  </pic:nvPicPr>
                  <pic:blipFill>
                    <a:blip r:embed="rId29"/>
                    <a:stretch>
                      <a:fillRect/>
                    </a:stretch>
                  </pic:blipFill>
                  <pic:spPr>
                    <a:xfrm>
                      <a:off x="0" y="0"/>
                      <a:ext cx="5760074" cy="6283717"/>
                    </a:xfrm>
                    <a:prstGeom prst="rect">
                      <a:avLst/>
                    </a:prstGeom>
                  </pic:spPr>
                </pic:pic>
              </a:graphicData>
            </a:graphic>
          </wp:inline>
        </w:drawing>
      </w:r>
    </w:p>
    <w:p w:rsidR="00DB17CE" w:rsidRDefault="006265B5">
      <w:pPr>
        <w:spacing w:after="228" w:line="239" w:lineRule="auto"/>
        <w:ind w:left="-5" w:right="-15"/>
      </w:pPr>
      <w:r>
        <w:rPr>
          <w:b/>
        </w:rPr>
        <w:t>Supplementary Figure 2: Broad-level bipartite to tripartite topological structure of dinoflagellate</w:t>
      </w:r>
      <w:r>
        <w:t xml:space="preserve">. Shown are 1Mbp-resolution KR-normalized(1) Hi-C matrices for four of the </w:t>
      </w:r>
      <w:r>
        <w:rPr>
          <w:i/>
        </w:rPr>
        <w:t xml:space="preserve">B. minutum </w:t>
      </w:r>
      <w:r>
        <w:t>pseudochromosomes.</w:t>
      </w:r>
    </w:p>
    <w:p w:rsidR="00DB17CE" w:rsidRDefault="006265B5">
      <w:pPr>
        <w:spacing w:after="428" w:line="259" w:lineRule="auto"/>
        <w:ind w:left="26" w:firstLine="0"/>
        <w:jc w:val="left"/>
      </w:pPr>
      <w:r>
        <w:rPr>
          <w:noProof/>
        </w:rPr>
        <w:lastRenderedPageBreak/>
        <w:drawing>
          <wp:inline distT="0" distB="0" distL="0" distR="0">
            <wp:extent cx="6660429" cy="5923863"/>
            <wp:effectExtent l="0" t="0" r="0" b="0"/>
            <wp:docPr id="2986" name="Picture 2986"/>
            <wp:cNvGraphicFramePr/>
            <a:graphic xmlns:a="http://schemas.openxmlformats.org/drawingml/2006/main">
              <a:graphicData uri="http://schemas.openxmlformats.org/drawingml/2006/picture">
                <pic:pic xmlns:pic="http://schemas.openxmlformats.org/drawingml/2006/picture">
                  <pic:nvPicPr>
                    <pic:cNvPr id="2986" name="Picture 2986"/>
                    <pic:cNvPicPr/>
                  </pic:nvPicPr>
                  <pic:blipFill>
                    <a:blip r:embed="rId30"/>
                    <a:stretch>
                      <a:fillRect/>
                    </a:stretch>
                  </pic:blipFill>
                  <pic:spPr>
                    <a:xfrm>
                      <a:off x="0" y="0"/>
                      <a:ext cx="6660429" cy="5923863"/>
                    </a:xfrm>
                    <a:prstGeom prst="rect">
                      <a:avLst/>
                    </a:prstGeom>
                  </pic:spPr>
                </pic:pic>
              </a:graphicData>
            </a:graphic>
          </wp:inline>
        </w:drawing>
      </w:r>
    </w:p>
    <w:p w:rsidR="00DB17CE" w:rsidRDefault="006265B5">
      <w:pPr>
        <w:spacing w:after="228" w:line="239" w:lineRule="auto"/>
        <w:ind w:left="-5" w:right="-15"/>
      </w:pPr>
      <w:r>
        <w:rPr>
          <w:b/>
        </w:rPr>
        <w:t>Supplementary Figure 3: The topological domain organization of dinoflagellate chromosomes is related to polycistronic gene array orientation</w:t>
      </w:r>
      <w:r>
        <w:t>. Shown is the 5kb-resolution KR-normalized Hi-C map together with strandspecific RN</w:t>
      </w:r>
      <w:r>
        <w:t>A expression levels for pseudochromosome 17.</w:t>
      </w:r>
    </w:p>
    <w:p w:rsidR="00DB17CE" w:rsidRDefault="006265B5">
      <w:pPr>
        <w:spacing w:after="428" w:line="259" w:lineRule="auto"/>
        <w:ind w:left="26" w:firstLine="0"/>
        <w:jc w:val="left"/>
      </w:pPr>
      <w:r>
        <w:rPr>
          <w:noProof/>
        </w:rPr>
        <w:lastRenderedPageBreak/>
        <w:drawing>
          <wp:inline distT="0" distB="0" distL="0" distR="0">
            <wp:extent cx="6660253" cy="5999288"/>
            <wp:effectExtent l="0" t="0" r="0" b="0"/>
            <wp:docPr id="2995" name="Picture 2995"/>
            <wp:cNvGraphicFramePr/>
            <a:graphic xmlns:a="http://schemas.openxmlformats.org/drawingml/2006/main">
              <a:graphicData uri="http://schemas.openxmlformats.org/drawingml/2006/picture">
                <pic:pic xmlns:pic="http://schemas.openxmlformats.org/drawingml/2006/picture">
                  <pic:nvPicPr>
                    <pic:cNvPr id="2995" name="Picture 2995"/>
                    <pic:cNvPicPr/>
                  </pic:nvPicPr>
                  <pic:blipFill>
                    <a:blip r:embed="rId31"/>
                    <a:stretch>
                      <a:fillRect/>
                    </a:stretch>
                  </pic:blipFill>
                  <pic:spPr>
                    <a:xfrm>
                      <a:off x="0" y="0"/>
                      <a:ext cx="6660253" cy="5999288"/>
                    </a:xfrm>
                    <a:prstGeom prst="rect">
                      <a:avLst/>
                    </a:prstGeom>
                  </pic:spPr>
                </pic:pic>
              </a:graphicData>
            </a:graphic>
          </wp:inline>
        </w:drawing>
      </w:r>
    </w:p>
    <w:p w:rsidR="00DB17CE" w:rsidRDefault="006265B5">
      <w:pPr>
        <w:spacing w:after="228" w:line="239" w:lineRule="auto"/>
        <w:ind w:left="-5" w:right="-15"/>
      </w:pPr>
      <w:r>
        <w:rPr>
          <w:b/>
        </w:rPr>
        <w:t>Supplementary Figure 4: The topological domain organization of dinoflagellate chromosomes is related to polycistronic gene array orientation</w:t>
      </w:r>
      <w:r>
        <w:t>. Shown is the 5kb-resolution KR-normalized Hi-C map together with strandspecific RNA expression levels for pseudochromosome 18.</w:t>
      </w:r>
    </w:p>
    <w:p w:rsidR="00DB17CE" w:rsidRDefault="006265B5">
      <w:pPr>
        <w:spacing w:after="428" w:line="259" w:lineRule="auto"/>
        <w:ind w:left="26" w:firstLine="0"/>
        <w:jc w:val="left"/>
      </w:pPr>
      <w:r>
        <w:rPr>
          <w:noProof/>
        </w:rPr>
        <w:lastRenderedPageBreak/>
        <w:drawing>
          <wp:inline distT="0" distB="0" distL="0" distR="0">
            <wp:extent cx="6660574" cy="5795803"/>
            <wp:effectExtent l="0" t="0" r="0" b="0"/>
            <wp:docPr id="3004" name="Picture 3004"/>
            <wp:cNvGraphicFramePr/>
            <a:graphic xmlns:a="http://schemas.openxmlformats.org/drawingml/2006/main">
              <a:graphicData uri="http://schemas.openxmlformats.org/drawingml/2006/picture">
                <pic:pic xmlns:pic="http://schemas.openxmlformats.org/drawingml/2006/picture">
                  <pic:nvPicPr>
                    <pic:cNvPr id="3004" name="Picture 3004"/>
                    <pic:cNvPicPr/>
                  </pic:nvPicPr>
                  <pic:blipFill>
                    <a:blip r:embed="rId32"/>
                    <a:stretch>
                      <a:fillRect/>
                    </a:stretch>
                  </pic:blipFill>
                  <pic:spPr>
                    <a:xfrm>
                      <a:off x="0" y="0"/>
                      <a:ext cx="6660574" cy="5795803"/>
                    </a:xfrm>
                    <a:prstGeom prst="rect">
                      <a:avLst/>
                    </a:prstGeom>
                  </pic:spPr>
                </pic:pic>
              </a:graphicData>
            </a:graphic>
          </wp:inline>
        </w:drawing>
      </w:r>
    </w:p>
    <w:p w:rsidR="00DB17CE" w:rsidRDefault="006265B5">
      <w:pPr>
        <w:spacing w:after="228" w:line="239" w:lineRule="auto"/>
        <w:ind w:left="-5" w:right="-15"/>
      </w:pPr>
      <w:r>
        <w:rPr>
          <w:b/>
        </w:rPr>
        <w:t>Supplementary Figure 5: The topological domain organization of dinoflagellate chromosomes is related to polycistronic gene ar</w:t>
      </w:r>
      <w:r>
        <w:rPr>
          <w:b/>
        </w:rPr>
        <w:t>ray orientation</w:t>
      </w:r>
      <w:r>
        <w:t>. Shown is the 5kb-resolution KR-normalized Hi-C map together with strandspecific RNA expression levels for pseudochromosome 21.</w:t>
      </w:r>
    </w:p>
    <w:p w:rsidR="00DB17CE" w:rsidRDefault="006265B5">
      <w:pPr>
        <w:spacing w:after="428" w:line="259" w:lineRule="auto"/>
        <w:ind w:left="26" w:firstLine="0"/>
        <w:jc w:val="left"/>
      </w:pPr>
      <w:r>
        <w:rPr>
          <w:noProof/>
        </w:rPr>
        <w:lastRenderedPageBreak/>
        <w:drawing>
          <wp:inline distT="0" distB="0" distL="0" distR="0">
            <wp:extent cx="6660038" cy="5890128"/>
            <wp:effectExtent l="0" t="0" r="0" b="0"/>
            <wp:docPr id="3013" name="Picture 3013"/>
            <wp:cNvGraphicFramePr/>
            <a:graphic xmlns:a="http://schemas.openxmlformats.org/drawingml/2006/main">
              <a:graphicData uri="http://schemas.openxmlformats.org/drawingml/2006/picture">
                <pic:pic xmlns:pic="http://schemas.openxmlformats.org/drawingml/2006/picture">
                  <pic:nvPicPr>
                    <pic:cNvPr id="3013" name="Picture 3013"/>
                    <pic:cNvPicPr/>
                  </pic:nvPicPr>
                  <pic:blipFill>
                    <a:blip r:embed="rId33"/>
                    <a:stretch>
                      <a:fillRect/>
                    </a:stretch>
                  </pic:blipFill>
                  <pic:spPr>
                    <a:xfrm>
                      <a:off x="0" y="0"/>
                      <a:ext cx="6660038" cy="5890128"/>
                    </a:xfrm>
                    <a:prstGeom prst="rect">
                      <a:avLst/>
                    </a:prstGeom>
                  </pic:spPr>
                </pic:pic>
              </a:graphicData>
            </a:graphic>
          </wp:inline>
        </w:drawing>
      </w:r>
    </w:p>
    <w:p w:rsidR="00DB17CE" w:rsidRDefault="006265B5">
      <w:pPr>
        <w:spacing w:after="228" w:line="239" w:lineRule="auto"/>
        <w:ind w:left="-5" w:right="-15"/>
      </w:pPr>
      <w:r>
        <w:rPr>
          <w:b/>
        </w:rPr>
        <w:t>Supplementary Figure 6: The topological domain organization of dinoflagellate chromosomes is related to polyci</w:t>
      </w:r>
      <w:r>
        <w:rPr>
          <w:b/>
        </w:rPr>
        <w:t>stronic gene array orientation</w:t>
      </w:r>
      <w:r>
        <w:t>. Shown is the 5kb-resolution KR-normalized Hi-C map together with strandspecific RNA expression levels for pseudochromosome 26.</w:t>
      </w:r>
    </w:p>
    <w:p w:rsidR="00DB17CE" w:rsidRDefault="006265B5">
      <w:pPr>
        <w:spacing w:after="428" w:line="259" w:lineRule="auto"/>
        <w:ind w:left="26" w:firstLine="0"/>
        <w:jc w:val="left"/>
      </w:pPr>
      <w:r>
        <w:rPr>
          <w:noProof/>
        </w:rPr>
        <w:lastRenderedPageBreak/>
        <w:drawing>
          <wp:inline distT="0" distB="0" distL="0" distR="0">
            <wp:extent cx="6660455" cy="5802833"/>
            <wp:effectExtent l="0" t="0" r="0" b="0"/>
            <wp:docPr id="3022" name="Picture 3022"/>
            <wp:cNvGraphicFramePr/>
            <a:graphic xmlns:a="http://schemas.openxmlformats.org/drawingml/2006/main">
              <a:graphicData uri="http://schemas.openxmlformats.org/drawingml/2006/picture">
                <pic:pic xmlns:pic="http://schemas.openxmlformats.org/drawingml/2006/picture">
                  <pic:nvPicPr>
                    <pic:cNvPr id="3022" name="Picture 3022"/>
                    <pic:cNvPicPr/>
                  </pic:nvPicPr>
                  <pic:blipFill>
                    <a:blip r:embed="rId34"/>
                    <a:stretch>
                      <a:fillRect/>
                    </a:stretch>
                  </pic:blipFill>
                  <pic:spPr>
                    <a:xfrm>
                      <a:off x="0" y="0"/>
                      <a:ext cx="6660455" cy="5802833"/>
                    </a:xfrm>
                    <a:prstGeom prst="rect">
                      <a:avLst/>
                    </a:prstGeom>
                  </pic:spPr>
                </pic:pic>
              </a:graphicData>
            </a:graphic>
          </wp:inline>
        </w:drawing>
      </w:r>
    </w:p>
    <w:p w:rsidR="00DB17CE" w:rsidRDefault="006265B5">
      <w:pPr>
        <w:spacing w:after="228" w:line="239" w:lineRule="auto"/>
        <w:ind w:left="-5" w:right="-15"/>
      </w:pPr>
      <w:r>
        <w:rPr>
          <w:b/>
        </w:rPr>
        <w:t>Supplementary Figure 7: The topological domain organization of dinoflagellate chromosomes is re</w:t>
      </w:r>
      <w:r>
        <w:rPr>
          <w:b/>
        </w:rPr>
        <w:t>lated to polycistronic gene array orientation</w:t>
      </w:r>
      <w:r>
        <w:t>. Shown is the 5kb-resolution KR-normalized Hi-C map together with strandspecific RNA expression levels for pseudochromosome 32.</w:t>
      </w:r>
    </w:p>
    <w:p w:rsidR="00DB17CE" w:rsidRDefault="006265B5">
      <w:pPr>
        <w:spacing w:after="428" w:line="259" w:lineRule="auto"/>
        <w:ind w:left="26" w:firstLine="0"/>
        <w:jc w:val="left"/>
      </w:pPr>
      <w:r>
        <w:rPr>
          <w:noProof/>
        </w:rPr>
        <w:lastRenderedPageBreak/>
        <w:drawing>
          <wp:inline distT="0" distB="0" distL="0" distR="0">
            <wp:extent cx="6660252" cy="5844898"/>
            <wp:effectExtent l="0" t="0" r="0" b="0"/>
            <wp:docPr id="3031" name="Picture 3031"/>
            <wp:cNvGraphicFramePr/>
            <a:graphic xmlns:a="http://schemas.openxmlformats.org/drawingml/2006/main">
              <a:graphicData uri="http://schemas.openxmlformats.org/drawingml/2006/picture">
                <pic:pic xmlns:pic="http://schemas.openxmlformats.org/drawingml/2006/picture">
                  <pic:nvPicPr>
                    <pic:cNvPr id="3031" name="Picture 3031"/>
                    <pic:cNvPicPr/>
                  </pic:nvPicPr>
                  <pic:blipFill>
                    <a:blip r:embed="rId35"/>
                    <a:stretch>
                      <a:fillRect/>
                    </a:stretch>
                  </pic:blipFill>
                  <pic:spPr>
                    <a:xfrm>
                      <a:off x="0" y="0"/>
                      <a:ext cx="6660252" cy="5844898"/>
                    </a:xfrm>
                    <a:prstGeom prst="rect">
                      <a:avLst/>
                    </a:prstGeom>
                  </pic:spPr>
                </pic:pic>
              </a:graphicData>
            </a:graphic>
          </wp:inline>
        </w:drawing>
      </w:r>
    </w:p>
    <w:p w:rsidR="00DB17CE" w:rsidRDefault="006265B5">
      <w:pPr>
        <w:spacing w:after="228" w:line="239" w:lineRule="auto"/>
        <w:ind w:left="-5" w:right="-15"/>
      </w:pPr>
      <w:r>
        <w:rPr>
          <w:b/>
        </w:rPr>
        <w:t>Supplementary Figure 8: The topological domain organization of dinoflagellate ch</w:t>
      </w:r>
      <w:r>
        <w:rPr>
          <w:b/>
        </w:rPr>
        <w:t>romosomes is related to polycistronic gene array orientation</w:t>
      </w:r>
      <w:r>
        <w:t>. Shown is the 5kb-resolution KR-normalized Hi-C map together with strandspecific RNA expression levels for pseudochromosome 36.</w:t>
      </w:r>
    </w:p>
    <w:p w:rsidR="00DB17CE" w:rsidRDefault="006265B5">
      <w:pPr>
        <w:spacing w:after="428" w:line="259" w:lineRule="auto"/>
        <w:ind w:left="26" w:firstLine="0"/>
        <w:jc w:val="left"/>
      </w:pPr>
      <w:r>
        <w:rPr>
          <w:noProof/>
        </w:rPr>
        <w:lastRenderedPageBreak/>
        <w:drawing>
          <wp:inline distT="0" distB="0" distL="0" distR="0">
            <wp:extent cx="6660252" cy="5829629"/>
            <wp:effectExtent l="0" t="0" r="0" b="0"/>
            <wp:docPr id="3040" name="Picture 3040"/>
            <wp:cNvGraphicFramePr/>
            <a:graphic xmlns:a="http://schemas.openxmlformats.org/drawingml/2006/main">
              <a:graphicData uri="http://schemas.openxmlformats.org/drawingml/2006/picture">
                <pic:pic xmlns:pic="http://schemas.openxmlformats.org/drawingml/2006/picture">
                  <pic:nvPicPr>
                    <pic:cNvPr id="3040" name="Picture 3040"/>
                    <pic:cNvPicPr/>
                  </pic:nvPicPr>
                  <pic:blipFill>
                    <a:blip r:embed="rId36"/>
                    <a:stretch>
                      <a:fillRect/>
                    </a:stretch>
                  </pic:blipFill>
                  <pic:spPr>
                    <a:xfrm>
                      <a:off x="0" y="0"/>
                      <a:ext cx="6660252" cy="5829629"/>
                    </a:xfrm>
                    <a:prstGeom prst="rect">
                      <a:avLst/>
                    </a:prstGeom>
                  </pic:spPr>
                </pic:pic>
              </a:graphicData>
            </a:graphic>
          </wp:inline>
        </w:drawing>
      </w:r>
    </w:p>
    <w:p w:rsidR="00DB17CE" w:rsidRDefault="006265B5">
      <w:pPr>
        <w:spacing w:after="228" w:line="239" w:lineRule="auto"/>
        <w:ind w:left="-5" w:right="-15"/>
      </w:pPr>
      <w:r>
        <w:rPr>
          <w:b/>
        </w:rPr>
        <w:t>Supplementary Figure 9: The topological domain organization of di</w:t>
      </w:r>
      <w:r>
        <w:rPr>
          <w:b/>
        </w:rPr>
        <w:t>noflagellate chromosomes is related to polycistronic gene array orientation</w:t>
      </w:r>
      <w:r>
        <w:t>. Shown is the 5kb-resolution KR-normalized Hi-C map together with strandspecific RNA expression levels for pseudochromosome 71.</w:t>
      </w:r>
    </w:p>
    <w:p w:rsidR="00DB17CE" w:rsidRDefault="006265B5">
      <w:pPr>
        <w:spacing w:after="428" w:line="259" w:lineRule="auto"/>
        <w:ind w:left="26" w:firstLine="0"/>
        <w:jc w:val="left"/>
      </w:pPr>
      <w:r>
        <w:rPr>
          <w:noProof/>
        </w:rPr>
        <w:lastRenderedPageBreak/>
        <w:drawing>
          <wp:inline distT="0" distB="0" distL="0" distR="0">
            <wp:extent cx="6660455" cy="5815173"/>
            <wp:effectExtent l="0" t="0" r="0" b="0"/>
            <wp:docPr id="3049" name="Picture 3049"/>
            <wp:cNvGraphicFramePr/>
            <a:graphic xmlns:a="http://schemas.openxmlformats.org/drawingml/2006/main">
              <a:graphicData uri="http://schemas.openxmlformats.org/drawingml/2006/picture">
                <pic:pic xmlns:pic="http://schemas.openxmlformats.org/drawingml/2006/picture">
                  <pic:nvPicPr>
                    <pic:cNvPr id="3049" name="Picture 3049"/>
                    <pic:cNvPicPr/>
                  </pic:nvPicPr>
                  <pic:blipFill>
                    <a:blip r:embed="rId37"/>
                    <a:stretch>
                      <a:fillRect/>
                    </a:stretch>
                  </pic:blipFill>
                  <pic:spPr>
                    <a:xfrm>
                      <a:off x="0" y="0"/>
                      <a:ext cx="6660455" cy="5815173"/>
                    </a:xfrm>
                    <a:prstGeom prst="rect">
                      <a:avLst/>
                    </a:prstGeom>
                  </pic:spPr>
                </pic:pic>
              </a:graphicData>
            </a:graphic>
          </wp:inline>
        </w:drawing>
      </w:r>
    </w:p>
    <w:p w:rsidR="00DB17CE" w:rsidRDefault="006265B5">
      <w:pPr>
        <w:spacing w:after="228" w:line="239" w:lineRule="auto"/>
        <w:ind w:left="-5" w:right="-15"/>
      </w:pPr>
      <w:r>
        <w:rPr>
          <w:b/>
        </w:rPr>
        <w:t>Supplementary Figure 10: The topological domain or</w:t>
      </w:r>
      <w:r>
        <w:rPr>
          <w:b/>
        </w:rPr>
        <w:t>ganization of dinoflagellate chromosomes is related to polycistronic gene array orientation</w:t>
      </w:r>
      <w:r>
        <w:t>. Shown is the 5kb-resolution KR-normalized Hi-C map together with strandspecific RNA expression levels for pseudochromosome 77.</w:t>
      </w:r>
    </w:p>
    <w:p w:rsidR="00DB17CE" w:rsidRDefault="006265B5">
      <w:pPr>
        <w:spacing w:after="428" w:line="259" w:lineRule="auto"/>
        <w:ind w:left="26" w:firstLine="0"/>
        <w:jc w:val="left"/>
      </w:pPr>
      <w:r>
        <w:rPr>
          <w:noProof/>
        </w:rPr>
        <w:lastRenderedPageBreak/>
        <w:drawing>
          <wp:inline distT="0" distB="0" distL="0" distR="0">
            <wp:extent cx="6660718" cy="5798436"/>
            <wp:effectExtent l="0" t="0" r="0" b="0"/>
            <wp:docPr id="3058" name="Picture 3058"/>
            <wp:cNvGraphicFramePr/>
            <a:graphic xmlns:a="http://schemas.openxmlformats.org/drawingml/2006/main">
              <a:graphicData uri="http://schemas.openxmlformats.org/drawingml/2006/picture">
                <pic:pic xmlns:pic="http://schemas.openxmlformats.org/drawingml/2006/picture">
                  <pic:nvPicPr>
                    <pic:cNvPr id="3058" name="Picture 3058"/>
                    <pic:cNvPicPr/>
                  </pic:nvPicPr>
                  <pic:blipFill>
                    <a:blip r:embed="rId38"/>
                    <a:stretch>
                      <a:fillRect/>
                    </a:stretch>
                  </pic:blipFill>
                  <pic:spPr>
                    <a:xfrm>
                      <a:off x="0" y="0"/>
                      <a:ext cx="6660718" cy="5798436"/>
                    </a:xfrm>
                    <a:prstGeom prst="rect">
                      <a:avLst/>
                    </a:prstGeom>
                  </pic:spPr>
                </pic:pic>
              </a:graphicData>
            </a:graphic>
          </wp:inline>
        </w:drawing>
      </w:r>
    </w:p>
    <w:p w:rsidR="00DB17CE" w:rsidRDefault="006265B5">
      <w:pPr>
        <w:spacing w:after="228" w:line="239" w:lineRule="auto"/>
        <w:ind w:left="-5" w:right="-15"/>
      </w:pPr>
      <w:r>
        <w:rPr>
          <w:b/>
        </w:rPr>
        <w:t>Supplementary Figure 11: The topol</w:t>
      </w:r>
      <w:r>
        <w:rPr>
          <w:b/>
        </w:rPr>
        <w:t>ogical domain organization of dinoflagellate chromosomes is related to polycistronic gene array orientation</w:t>
      </w:r>
      <w:r>
        <w:t>. Shown is the 5kb-resolution KR-normalized Hi-C map together with strandspecific RNA expression levels for pseudochromosome 78.</w:t>
      </w:r>
    </w:p>
    <w:p w:rsidR="00DB17CE" w:rsidRDefault="006265B5">
      <w:pPr>
        <w:spacing w:after="428" w:line="259" w:lineRule="auto"/>
        <w:ind w:left="26" w:firstLine="0"/>
        <w:jc w:val="left"/>
      </w:pPr>
      <w:r>
        <w:rPr>
          <w:noProof/>
        </w:rPr>
        <w:lastRenderedPageBreak/>
        <w:drawing>
          <wp:inline distT="0" distB="0" distL="0" distR="0">
            <wp:extent cx="6660101" cy="5921561"/>
            <wp:effectExtent l="0" t="0" r="0" b="0"/>
            <wp:docPr id="3067" name="Picture 3067"/>
            <wp:cNvGraphicFramePr/>
            <a:graphic xmlns:a="http://schemas.openxmlformats.org/drawingml/2006/main">
              <a:graphicData uri="http://schemas.openxmlformats.org/drawingml/2006/picture">
                <pic:pic xmlns:pic="http://schemas.openxmlformats.org/drawingml/2006/picture">
                  <pic:nvPicPr>
                    <pic:cNvPr id="3067" name="Picture 3067"/>
                    <pic:cNvPicPr/>
                  </pic:nvPicPr>
                  <pic:blipFill>
                    <a:blip r:embed="rId39"/>
                    <a:stretch>
                      <a:fillRect/>
                    </a:stretch>
                  </pic:blipFill>
                  <pic:spPr>
                    <a:xfrm>
                      <a:off x="0" y="0"/>
                      <a:ext cx="6660101" cy="5921561"/>
                    </a:xfrm>
                    <a:prstGeom prst="rect">
                      <a:avLst/>
                    </a:prstGeom>
                  </pic:spPr>
                </pic:pic>
              </a:graphicData>
            </a:graphic>
          </wp:inline>
        </w:drawing>
      </w:r>
    </w:p>
    <w:p w:rsidR="00DB17CE" w:rsidRDefault="006265B5">
      <w:pPr>
        <w:spacing w:after="228" w:line="239" w:lineRule="auto"/>
        <w:ind w:left="-5" w:right="-15"/>
      </w:pPr>
      <w:r>
        <w:rPr>
          <w:b/>
        </w:rPr>
        <w:t>Supplementary Figu</w:t>
      </w:r>
      <w:r>
        <w:rPr>
          <w:b/>
        </w:rPr>
        <w:t>re 12: The topological domain organization of dinoflagellate chromosomes is related to polycistronic gene array orientation</w:t>
      </w:r>
      <w:r>
        <w:t>. Shown is the 5kb-resolution KR-normalized Hi-C map together with strandspecific RNA expression levels for pseudochromosome 88.</w:t>
      </w:r>
    </w:p>
    <w:p w:rsidR="00DB17CE" w:rsidRDefault="006265B5">
      <w:pPr>
        <w:spacing w:after="428" w:line="259" w:lineRule="auto"/>
        <w:ind w:left="26" w:firstLine="0"/>
        <w:jc w:val="left"/>
      </w:pPr>
      <w:r>
        <w:rPr>
          <w:noProof/>
        </w:rPr>
        <w:lastRenderedPageBreak/>
        <w:drawing>
          <wp:inline distT="0" distB="0" distL="0" distR="0">
            <wp:extent cx="6660021" cy="5846236"/>
            <wp:effectExtent l="0" t="0" r="0" b="0"/>
            <wp:docPr id="3076" name="Picture 3076"/>
            <wp:cNvGraphicFramePr/>
            <a:graphic xmlns:a="http://schemas.openxmlformats.org/drawingml/2006/main">
              <a:graphicData uri="http://schemas.openxmlformats.org/drawingml/2006/picture">
                <pic:pic xmlns:pic="http://schemas.openxmlformats.org/drawingml/2006/picture">
                  <pic:nvPicPr>
                    <pic:cNvPr id="3076" name="Picture 3076"/>
                    <pic:cNvPicPr/>
                  </pic:nvPicPr>
                  <pic:blipFill>
                    <a:blip r:embed="rId40"/>
                    <a:stretch>
                      <a:fillRect/>
                    </a:stretch>
                  </pic:blipFill>
                  <pic:spPr>
                    <a:xfrm>
                      <a:off x="0" y="0"/>
                      <a:ext cx="6660021" cy="5846236"/>
                    </a:xfrm>
                    <a:prstGeom prst="rect">
                      <a:avLst/>
                    </a:prstGeom>
                  </pic:spPr>
                </pic:pic>
              </a:graphicData>
            </a:graphic>
          </wp:inline>
        </w:drawing>
      </w:r>
    </w:p>
    <w:p w:rsidR="00DB17CE" w:rsidRDefault="006265B5">
      <w:pPr>
        <w:spacing w:after="228" w:line="239" w:lineRule="auto"/>
        <w:ind w:left="-5" w:right="-15"/>
      </w:pPr>
      <w:r>
        <w:rPr>
          <w:b/>
        </w:rPr>
        <w:t>Su</w:t>
      </w:r>
      <w:r>
        <w:rPr>
          <w:b/>
        </w:rPr>
        <w:t>pplementary Figure 13: The topological domain organization of dinoflagellate chromosomes is related to polycistronic gene array orientation</w:t>
      </w:r>
      <w:r>
        <w:t>. Shown is the 5kb-resolution KR-normalized Hi-C map together with strandspecific RNA expression levels for pseudochr</w:t>
      </w:r>
      <w:r>
        <w:t>omosome 89.</w:t>
      </w:r>
    </w:p>
    <w:p w:rsidR="00DB17CE" w:rsidRDefault="006265B5">
      <w:pPr>
        <w:spacing w:after="428" w:line="259" w:lineRule="auto"/>
        <w:ind w:left="26" w:firstLine="0"/>
        <w:jc w:val="left"/>
      </w:pPr>
      <w:r>
        <w:rPr>
          <w:noProof/>
        </w:rPr>
        <w:lastRenderedPageBreak/>
        <w:drawing>
          <wp:inline distT="0" distB="0" distL="0" distR="0">
            <wp:extent cx="6660762" cy="6582793"/>
            <wp:effectExtent l="0" t="0" r="0" b="0"/>
            <wp:docPr id="3085" name="Picture 3085"/>
            <wp:cNvGraphicFramePr/>
            <a:graphic xmlns:a="http://schemas.openxmlformats.org/drawingml/2006/main">
              <a:graphicData uri="http://schemas.openxmlformats.org/drawingml/2006/picture">
                <pic:pic xmlns:pic="http://schemas.openxmlformats.org/drawingml/2006/picture">
                  <pic:nvPicPr>
                    <pic:cNvPr id="3085" name="Picture 3085"/>
                    <pic:cNvPicPr/>
                  </pic:nvPicPr>
                  <pic:blipFill>
                    <a:blip r:embed="rId41"/>
                    <a:stretch>
                      <a:fillRect/>
                    </a:stretch>
                  </pic:blipFill>
                  <pic:spPr>
                    <a:xfrm>
                      <a:off x="0" y="0"/>
                      <a:ext cx="6660762" cy="6582793"/>
                    </a:xfrm>
                    <a:prstGeom prst="rect">
                      <a:avLst/>
                    </a:prstGeom>
                  </pic:spPr>
                </pic:pic>
              </a:graphicData>
            </a:graphic>
          </wp:inline>
        </w:drawing>
      </w:r>
    </w:p>
    <w:p w:rsidR="00DB17CE" w:rsidRDefault="006265B5">
      <w:pPr>
        <w:ind w:left="-5"/>
      </w:pPr>
      <w:r>
        <w:rPr>
          <w:b/>
        </w:rPr>
        <w:t xml:space="preserve">Supplementary Figure 14: Topological structure of the </w:t>
      </w:r>
      <w:r>
        <w:rPr>
          <w:rFonts w:ascii="Calibri" w:eastAsia="Calibri" w:hAnsi="Calibri" w:cs="Calibri"/>
          <w:i/>
        </w:rPr>
        <w:t xml:space="preserve">Caulobacter crescentus </w:t>
      </w:r>
      <w:r>
        <w:rPr>
          <w:b/>
        </w:rPr>
        <w:t>CB15 genome</w:t>
      </w:r>
      <w:r>
        <w:t xml:space="preserve">. Shown is the KR-normalized 5-kb resolution maps for the whole </w:t>
      </w:r>
      <w:r>
        <w:rPr>
          <w:i/>
        </w:rPr>
        <w:t xml:space="preserve">Caulobacter </w:t>
      </w:r>
      <w:r>
        <w:t>chromosome (GEO accession GSM1120448).</w:t>
      </w:r>
    </w:p>
    <w:p w:rsidR="00DB17CE" w:rsidRDefault="006265B5">
      <w:pPr>
        <w:spacing w:after="428" w:line="259" w:lineRule="auto"/>
        <w:ind w:left="26" w:firstLine="0"/>
        <w:jc w:val="left"/>
      </w:pPr>
      <w:r>
        <w:rPr>
          <w:noProof/>
        </w:rPr>
        <w:lastRenderedPageBreak/>
        <w:drawing>
          <wp:inline distT="0" distB="0" distL="0" distR="0">
            <wp:extent cx="6660196" cy="7008409"/>
            <wp:effectExtent l="0" t="0" r="0" b="0"/>
            <wp:docPr id="3097" name="Picture 3097"/>
            <wp:cNvGraphicFramePr/>
            <a:graphic xmlns:a="http://schemas.openxmlformats.org/drawingml/2006/main">
              <a:graphicData uri="http://schemas.openxmlformats.org/drawingml/2006/picture">
                <pic:pic xmlns:pic="http://schemas.openxmlformats.org/drawingml/2006/picture">
                  <pic:nvPicPr>
                    <pic:cNvPr id="3097" name="Picture 3097"/>
                    <pic:cNvPicPr/>
                  </pic:nvPicPr>
                  <pic:blipFill>
                    <a:blip r:embed="rId42"/>
                    <a:stretch>
                      <a:fillRect/>
                    </a:stretch>
                  </pic:blipFill>
                  <pic:spPr>
                    <a:xfrm>
                      <a:off x="0" y="0"/>
                      <a:ext cx="6660196" cy="7008409"/>
                    </a:xfrm>
                    <a:prstGeom prst="rect">
                      <a:avLst/>
                    </a:prstGeom>
                  </pic:spPr>
                </pic:pic>
              </a:graphicData>
            </a:graphic>
          </wp:inline>
        </w:drawing>
      </w:r>
    </w:p>
    <w:p w:rsidR="00DB17CE" w:rsidRDefault="006265B5">
      <w:pPr>
        <w:ind w:left="-5"/>
      </w:pPr>
      <w:r>
        <w:rPr>
          <w:b/>
        </w:rPr>
        <w:lastRenderedPageBreak/>
        <w:t xml:space="preserve">Supplementary Figure 15: Topological </w:t>
      </w:r>
      <w:r>
        <w:rPr>
          <w:b/>
        </w:rPr>
        <w:t xml:space="preserve">structure of the </w:t>
      </w:r>
      <w:r>
        <w:rPr>
          <w:rFonts w:ascii="Calibri" w:eastAsia="Calibri" w:hAnsi="Calibri" w:cs="Calibri"/>
          <w:i/>
        </w:rPr>
        <w:t xml:space="preserve">Schizosaccharomyces pombe </w:t>
      </w:r>
      <w:r>
        <w:rPr>
          <w:b/>
        </w:rPr>
        <w:t>genome</w:t>
      </w:r>
      <w:r>
        <w:t xml:space="preserve">. Shown are the KR-normalized 5-kb resolution maps for all three </w:t>
      </w:r>
      <w:r>
        <w:rPr>
          <w:i/>
        </w:rPr>
        <w:t xml:space="preserve">S. pombe </w:t>
      </w:r>
      <w:r>
        <w:t>chromosome (GEO accession GSM1379427).</w:t>
      </w:r>
    </w:p>
    <w:p w:rsidR="00DB17CE" w:rsidRDefault="006265B5">
      <w:pPr>
        <w:spacing w:after="428" w:line="259" w:lineRule="auto"/>
        <w:ind w:left="26" w:firstLine="0"/>
        <w:jc w:val="left"/>
      </w:pPr>
      <w:r>
        <w:rPr>
          <w:noProof/>
        </w:rPr>
        <w:drawing>
          <wp:inline distT="0" distB="0" distL="0" distR="0">
            <wp:extent cx="6660467" cy="3627062"/>
            <wp:effectExtent l="0" t="0" r="0" b="0"/>
            <wp:docPr id="3109" name="Picture 3109"/>
            <wp:cNvGraphicFramePr/>
            <a:graphic xmlns:a="http://schemas.openxmlformats.org/drawingml/2006/main">
              <a:graphicData uri="http://schemas.openxmlformats.org/drawingml/2006/picture">
                <pic:pic xmlns:pic="http://schemas.openxmlformats.org/drawingml/2006/picture">
                  <pic:nvPicPr>
                    <pic:cNvPr id="3109" name="Picture 3109"/>
                    <pic:cNvPicPr/>
                  </pic:nvPicPr>
                  <pic:blipFill>
                    <a:blip r:embed="rId43"/>
                    <a:stretch>
                      <a:fillRect/>
                    </a:stretch>
                  </pic:blipFill>
                  <pic:spPr>
                    <a:xfrm>
                      <a:off x="0" y="0"/>
                      <a:ext cx="6660467" cy="3627062"/>
                    </a:xfrm>
                    <a:prstGeom prst="rect">
                      <a:avLst/>
                    </a:prstGeom>
                  </pic:spPr>
                </pic:pic>
              </a:graphicData>
            </a:graphic>
          </wp:inline>
        </w:drawing>
      </w:r>
    </w:p>
    <w:p w:rsidR="00DB17CE" w:rsidRDefault="006265B5">
      <w:pPr>
        <w:spacing w:after="0" w:line="257" w:lineRule="auto"/>
        <w:ind w:left="0" w:firstLine="0"/>
        <w:jc w:val="left"/>
      </w:pPr>
      <w:r>
        <w:rPr>
          <w:b/>
        </w:rPr>
        <w:t xml:space="preserve">Supplementary Figure 16: No topological domains associated with gene arrays are observed in the kinetoplastid </w:t>
      </w:r>
      <w:r>
        <w:rPr>
          <w:rFonts w:ascii="Calibri" w:eastAsia="Calibri" w:hAnsi="Calibri" w:cs="Calibri"/>
          <w:i/>
        </w:rPr>
        <w:t>Trypanosoma brucei</w:t>
      </w:r>
      <w:r>
        <w:t>. Shown are KR-normalized 10-kb resolution maps for chr11 (A) and chr10 (B) for GEO accession GSM3346690.</w:t>
      </w:r>
    </w:p>
    <w:p w:rsidR="00DB17CE" w:rsidRDefault="006265B5">
      <w:pPr>
        <w:spacing w:after="428" w:line="259" w:lineRule="auto"/>
        <w:ind w:left="26" w:firstLine="0"/>
        <w:jc w:val="left"/>
      </w:pPr>
      <w:r>
        <w:rPr>
          <w:noProof/>
        </w:rPr>
        <w:lastRenderedPageBreak/>
        <w:drawing>
          <wp:inline distT="0" distB="0" distL="0" distR="0">
            <wp:extent cx="6660085" cy="5363827"/>
            <wp:effectExtent l="0" t="0" r="0" b="0"/>
            <wp:docPr id="3119" name="Picture 3119"/>
            <wp:cNvGraphicFramePr/>
            <a:graphic xmlns:a="http://schemas.openxmlformats.org/drawingml/2006/main">
              <a:graphicData uri="http://schemas.openxmlformats.org/drawingml/2006/picture">
                <pic:pic xmlns:pic="http://schemas.openxmlformats.org/drawingml/2006/picture">
                  <pic:nvPicPr>
                    <pic:cNvPr id="3119" name="Picture 3119"/>
                    <pic:cNvPicPr/>
                  </pic:nvPicPr>
                  <pic:blipFill>
                    <a:blip r:embed="rId44"/>
                    <a:stretch>
                      <a:fillRect/>
                    </a:stretch>
                  </pic:blipFill>
                  <pic:spPr>
                    <a:xfrm>
                      <a:off x="0" y="0"/>
                      <a:ext cx="6660085" cy="5363827"/>
                    </a:xfrm>
                    <a:prstGeom prst="rect">
                      <a:avLst/>
                    </a:prstGeom>
                  </pic:spPr>
                </pic:pic>
              </a:graphicData>
            </a:graphic>
          </wp:inline>
        </w:drawing>
      </w:r>
    </w:p>
    <w:p w:rsidR="00DB17CE" w:rsidRDefault="006265B5">
      <w:pPr>
        <w:ind w:left="-5"/>
      </w:pPr>
      <w:r>
        <w:rPr>
          <w:b/>
        </w:rPr>
        <w:t>Supplementary Figure</w:t>
      </w:r>
      <w:r>
        <w:rPr>
          <w:b/>
        </w:rPr>
        <w:t xml:space="preserve"> 17: Expansion of the Type II and II topoisomerase gene repertoire as well as of certain other replication-related proteins in dinoflagellates</w:t>
      </w:r>
      <w:r>
        <w:t>. Shown are the number of genes annotated in MMETSP transcriptome assemblies of dinoflagellates and other eukaryot</w:t>
      </w:r>
      <w:r>
        <w:t>es. (A) Number of Type I topoisomerase genes; (B) Number of Type II topoisomerase genes; (C) Number of Type III topoisomerase genes; (D) Number of PCNA genes; (E) Number of MCM genes; (F) Number of RPA1 genes; (G) Number of RPA2 genes; (H) Number of RPA3 g</w:t>
      </w:r>
      <w:r>
        <w:t>enes; (I) Number of RFC1 genes.</w:t>
      </w:r>
    </w:p>
    <w:p w:rsidR="00DB17CE" w:rsidRDefault="006265B5">
      <w:pPr>
        <w:spacing w:after="428" w:line="259" w:lineRule="auto"/>
        <w:ind w:left="26" w:firstLine="0"/>
        <w:jc w:val="left"/>
      </w:pPr>
      <w:r>
        <w:rPr>
          <w:noProof/>
        </w:rPr>
        <w:lastRenderedPageBreak/>
        <w:drawing>
          <wp:inline distT="0" distB="0" distL="0" distR="0">
            <wp:extent cx="6660292" cy="6501409"/>
            <wp:effectExtent l="0" t="0" r="0" b="0"/>
            <wp:docPr id="3136" name="Picture 3136"/>
            <wp:cNvGraphicFramePr/>
            <a:graphic xmlns:a="http://schemas.openxmlformats.org/drawingml/2006/main">
              <a:graphicData uri="http://schemas.openxmlformats.org/drawingml/2006/picture">
                <pic:pic xmlns:pic="http://schemas.openxmlformats.org/drawingml/2006/picture">
                  <pic:nvPicPr>
                    <pic:cNvPr id="3136" name="Picture 3136"/>
                    <pic:cNvPicPr/>
                  </pic:nvPicPr>
                  <pic:blipFill>
                    <a:blip r:embed="rId45"/>
                    <a:stretch>
                      <a:fillRect/>
                    </a:stretch>
                  </pic:blipFill>
                  <pic:spPr>
                    <a:xfrm>
                      <a:off x="0" y="0"/>
                      <a:ext cx="6660292" cy="6501409"/>
                    </a:xfrm>
                    <a:prstGeom prst="rect">
                      <a:avLst/>
                    </a:prstGeom>
                  </pic:spPr>
                </pic:pic>
              </a:graphicData>
            </a:graphic>
          </wp:inline>
        </w:drawing>
      </w:r>
    </w:p>
    <w:p w:rsidR="00DB17CE" w:rsidRDefault="006265B5">
      <w:pPr>
        <w:ind w:left="-5"/>
      </w:pPr>
      <w:r>
        <w:rPr>
          <w:b/>
        </w:rPr>
        <w:t>Supplementary Figure 18: Moderate decompaction of dinoTADs upon exposure to elevated temperatures</w:t>
      </w:r>
      <w:r>
        <w:t xml:space="preserve">. Shown is pseudochromosome 10 (KR-normalized) and the difference between the KR-normalized Hi-C maps generated from </w:t>
      </w:r>
      <w:r>
        <w:rPr>
          <w:i/>
        </w:rPr>
        <w:t>B. minut</w:t>
      </w:r>
      <w:r>
        <w:rPr>
          <w:i/>
        </w:rPr>
        <w:t xml:space="preserve">um </w:t>
      </w:r>
      <w:r>
        <w:t>grown at 34</w:t>
      </w:r>
      <w:r>
        <w:rPr>
          <w:vertAlign w:val="superscript"/>
        </w:rPr>
        <w:t>◦</w:t>
      </w:r>
      <w:r>
        <w:t>C and at 27</w:t>
      </w:r>
      <w:r>
        <w:rPr>
          <w:vertAlign w:val="superscript"/>
        </w:rPr>
        <w:t>◦</w:t>
      </w:r>
      <w:r>
        <w:t>C at 100-kb resolution (lower right) and 5-kb resolution (upper right).</w:t>
      </w:r>
    </w:p>
    <w:p w:rsidR="00DB17CE" w:rsidRDefault="006265B5">
      <w:pPr>
        <w:spacing w:after="428" w:line="259" w:lineRule="auto"/>
        <w:ind w:left="26" w:firstLine="0"/>
        <w:jc w:val="left"/>
      </w:pPr>
      <w:r>
        <w:rPr>
          <w:noProof/>
        </w:rPr>
        <w:lastRenderedPageBreak/>
        <w:drawing>
          <wp:inline distT="0" distB="0" distL="0" distR="0">
            <wp:extent cx="6660083" cy="6420768"/>
            <wp:effectExtent l="0" t="0" r="0" b="0"/>
            <wp:docPr id="3151" name="Picture 3151"/>
            <wp:cNvGraphicFramePr/>
            <a:graphic xmlns:a="http://schemas.openxmlformats.org/drawingml/2006/main">
              <a:graphicData uri="http://schemas.openxmlformats.org/drawingml/2006/picture">
                <pic:pic xmlns:pic="http://schemas.openxmlformats.org/drawingml/2006/picture">
                  <pic:nvPicPr>
                    <pic:cNvPr id="3151" name="Picture 3151"/>
                    <pic:cNvPicPr/>
                  </pic:nvPicPr>
                  <pic:blipFill>
                    <a:blip r:embed="rId46"/>
                    <a:stretch>
                      <a:fillRect/>
                    </a:stretch>
                  </pic:blipFill>
                  <pic:spPr>
                    <a:xfrm>
                      <a:off x="0" y="0"/>
                      <a:ext cx="6660083" cy="6420768"/>
                    </a:xfrm>
                    <a:prstGeom prst="rect">
                      <a:avLst/>
                    </a:prstGeom>
                  </pic:spPr>
                </pic:pic>
              </a:graphicData>
            </a:graphic>
          </wp:inline>
        </w:drawing>
      </w:r>
    </w:p>
    <w:p w:rsidR="00DB17CE" w:rsidRDefault="006265B5">
      <w:pPr>
        <w:ind w:left="-5"/>
      </w:pPr>
      <w:r>
        <w:rPr>
          <w:b/>
        </w:rPr>
        <w:t>Supplementary Figure 19: Moderate decompaction of dinoTADs upon exposure to elevated temperatures</w:t>
      </w:r>
      <w:r>
        <w:t>. Shown is pseudochromosome 17 (KR-normalized) and the dif</w:t>
      </w:r>
      <w:r>
        <w:t xml:space="preserve">ference between the KR-normalized Hi-C maps generated from </w:t>
      </w:r>
      <w:r>
        <w:rPr>
          <w:i/>
        </w:rPr>
        <w:t xml:space="preserve">B. minutum </w:t>
      </w:r>
      <w:r>
        <w:t>grown at 34</w:t>
      </w:r>
      <w:r>
        <w:rPr>
          <w:vertAlign w:val="superscript"/>
        </w:rPr>
        <w:t>◦</w:t>
      </w:r>
      <w:r>
        <w:t>C and at 27</w:t>
      </w:r>
      <w:r>
        <w:rPr>
          <w:vertAlign w:val="superscript"/>
        </w:rPr>
        <w:t>◦</w:t>
      </w:r>
      <w:r>
        <w:t>C at 100-kb resolution (lower right) and 5-kb resolution (upper right).</w:t>
      </w:r>
    </w:p>
    <w:p w:rsidR="00DB17CE" w:rsidRDefault="006265B5">
      <w:pPr>
        <w:spacing w:after="428" w:line="259" w:lineRule="auto"/>
        <w:ind w:left="26" w:firstLine="0"/>
        <w:jc w:val="left"/>
      </w:pPr>
      <w:r>
        <w:rPr>
          <w:noProof/>
        </w:rPr>
        <w:lastRenderedPageBreak/>
        <w:drawing>
          <wp:inline distT="0" distB="0" distL="0" distR="0">
            <wp:extent cx="6660487" cy="6453941"/>
            <wp:effectExtent l="0" t="0" r="0" b="0"/>
            <wp:docPr id="3166" name="Picture 3166"/>
            <wp:cNvGraphicFramePr/>
            <a:graphic xmlns:a="http://schemas.openxmlformats.org/drawingml/2006/main">
              <a:graphicData uri="http://schemas.openxmlformats.org/drawingml/2006/picture">
                <pic:pic xmlns:pic="http://schemas.openxmlformats.org/drawingml/2006/picture">
                  <pic:nvPicPr>
                    <pic:cNvPr id="3166" name="Picture 3166"/>
                    <pic:cNvPicPr/>
                  </pic:nvPicPr>
                  <pic:blipFill>
                    <a:blip r:embed="rId47"/>
                    <a:stretch>
                      <a:fillRect/>
                    </a:stretch>
                  </pic:blipFill>
                  <pic:spPr>
                    <a:xfrm>
                      <a:off x="0" y="0"/>
                      <a:ext cx="6660487" cy="6453941"/>
                    </a:xfrm>
                    <a:prstGeom prst="rect">
                      <a:avLst/>
                    </a:prstGeom>
                  </pic:spPr>
                </pic:pic>
              </a:graphicData>
            </a:graphic>
          </wp:inline>
        </w:drawing>
      </w:r>
    </w:p>
    <w:p w:rsidR="00DB17CE" w:rsidRDefault="006265B5">
      <w:pPr>
        <w:ind w:left="-5"/>
      </w:pPr>
      <w:r>
        <w:rPr>
          <w:b/>
        </w:rPr>
        <w:t>Supplementary Figure 20: Moderate decompaction of dinoTADs upon exposure to elevated tem</w:t>
      </w:r>
      <w:r>
        <w:rPr>
          <w:b/>
        </w:rPr>
        <w:t>peratures</w:t>
      </w:r>
      <w:r>
        <w:t xml:space="preserve">. Shown is pseudochromosome 18 (KR-normalized) and the difference between the KR-normalized Hi-C maps generated from </w:t>
      </w:r>
      <w:r>
        <w:rPr>
          <w:i/>
        </w:rPr>
        <w:t xml:space="preserve">B. minutum </w:t>
      </w:r>
      <w:r>
        <w:t>grown at 34</w:t>
      </w:r>
      <w:r>
        <w:rPr>
          <w:vertAlign w:val="superscript"/>
        </w:rPr>
        <w:t>◦</w:t>
      </w:r>
      <w:r>
        <w:t>C and at 27</w:t>
      </w:r>
      <w:r>
        <w:rPr>
          <w:vertAlign w:val="superscript"/>
        </w:rPr>
        <w:t>◦</w:t>
      </w:r>
      <w:r>
        <w:t>C at 100-kb resolution (lower right) and 5-kb resolution (upper right).</w:t>
      </w:r>
    </w:p>
    <w:p w:rsidR="00DB17CE" w:rsidRDefault="006265B5">
      <w:pPr>
        <w:spacing w:after="428" w:line="259" w:lineRule="auto"/>
        <w:ind w:left="26" w:firstLine="0"/>
        <w:jc w:val="left"/>
      </w:pPr>
      <w:r>
        <w:rPr>
          <w:noProof/>
        </w:rPr>
        <w:lastRenderedPageBreak/>
        <w:drawing>
          <wp:inline distT="0" distB="0" distL="0" distR="0">
            <wp:extent cx="6660380" cy="5367325"/>
            <wp:effectExtent l="0" t="0" r="0" b="0"/>
            <wp:docPr id="3181" name="Picture 3181"/>
            <wp:cNvGraphicFramePr/>
            <a:graphic xmlns:a="http://schemas.openxmlformats.org/drawingml/2006/main">
              <a:graphicData uri="http://schemas.openxmlformats.org/drawingml/2006/picture">
                <pic:pic xmlns:pic="http://schemas.openxmlformats.org/drawingml/2006/picture">
                  <pic:nvPicPr>
                    <pic:cNvPr id="3181" name="Picture 3181"/>
                    <pic:cNvPicPr/>
                  </pic:nvPicPr>
                  <pic:blipFill>
                    <a:blip r:embed="rId48"/>
                    <a:stretch>
                      <a:fillRect/>
                    </a:stretch>
                  </pic:blipFill>
                  <pic:spPr>
                    <a:xfrm>
                      <a:off x="0" y="0"/>
                      <a:ext cx="6660380" cy="5367325"/>
                    </a:xfrm>
                    <a:prstGeom prst="rect">
                      <a:avLst/>
                    </a:prstGeom>
                  </pic:spPr>
                </pic:pic>
              </a:graphicData>
            </a:graphic>
          </wp:inline>
        </w:drawing>
      </w:r>
    </w:p>
    <w:p w:rsidR="00DB17CE" w:rsidRDefault="006265B5">
      <w:pPr>
        <w:ind w:left="-5"/>
      </w:pPr>
      <w:r>
        <w:rPr>
          <w:b/>
        </w:rPr>
        <w:t xml:space="preserve">Supplementary Figure </w:t>
      </w:r>
      <w:r>
        <w:rPr>
          <w:b/>
        </w:rPr>
        <w:t xml:space="preserve">21: Decompaction of dinoTADs upon transcriptional inhibition using </w:t>
      </w:r>
      <w:r>
        <w:rPr>
          <w:i/>
        </w:rPr>
        <w:t>α</w:t>
      </w:r>
      <w:r>
        <w:rPr>
          <w:b/>
        </w:rPr>
        <w:t>-amanitin</w:t>
      </w:r>
      <w:r>
        <w:t>. Shown is pseudochromosome 10. Two time courses were carried out following the outline presented in Figure 2B.</w:t>
      </w:r>
    </w:p>
    <w:p w:rsidR="00DB17CE" w:rsidRDefault="006265B5">
      <w:pPr>
        <w:spacing w:after="428" w:line="259" w:lineRule="auto"/>
        <w:ind w:left="26" w:firstLine="0"/>
        <w:jc w:val="left"/>
      </w:pPr>
      <w:r>
        <w:rPr>
          <w:noProof/>
        </w:rPr>
        <w:lastRenderedPageBreak/>
        <w:drawing>
          <wp:inline distT="0" distB="0" distL="0" distR="0">
            <wp:extent cx="6660382" cy="5343218"/>
            <wp:effectExtent l="0" t="0" r="0" b="0"/>
            <wp:docPr id="3194" name="Picture 3194"/>
            <wp:cNvGraphicFramePr/>
            <a:graphic xmlns:a="http://schemas.openxmlformats.org/drawingml/2006/main">
              <a:graphicData uri="http://schemas.openxmlformats.org/drawingml/2006/picture">
                <pic:pic xmlns:pic="http://schemas.openxmlformats.org/drawingml/2006/picture">
                  <pic:nvPicPr>
                    <pic:cNvPr id="3194" name="Picture 3194"/>
                    <pic:cNvPicPr/>
                  </pic:nvPicPr>
                  <pic:blipFill>
                    <a:blip r:embed="rId49"/>
                    <a:stretch>
                      <a:fillRect/>
                    </a:stretch>
                  </pic:blipFill>
                  <pic:spPr>
                    <a:xfrm>
                      <a:off x="0" y="0"/>
                      <a:ext cx="6660382" cy="5343218"/>
                    </a:xfrm>
                    <a:prstGeom prst="rect">
                      <a:avLst/>
                    </a:prstGeom>
                  </pic:spPr>
                </pic:pic>
              </a:graphicData>
            </a:graphic>
          </wp:inline>
        </w:drawing>
      </w:r>
    </w:p>
    <w:p w:rsidR="00DB17CE" w:rsidRDefault="006265B5">
      <w:pPr>
        <w:ind w:left="-5"/>
      </w:pPr>
      <w:r>
        <w:rPr>
          <w:b/>
        </w:rPr>
        <w:t>Supplementary Figure 22: Decompaction of dinoTADs upon transcript</w:t>
      </w:r>
      <w:r>
        <w:rPr>
          <w:b/>
        </w:rPr>
        <w:t xml:space="preserve">ional inhibition using </w:t>
      </w:r>
      <w:r>
        <w:rPr>
          <w:i/>
        </w:rPr>
        <w:t>α</w:t>
      </w:r>
      <w:r>
        <w:rPr>
          <w:b/>
        </w:rPr>
        <w:t>-amanitin</w:t>
      </w:r>
      <w:r>
        <w:t>. Shown is pseudochromosome 17. Two time courses were carried out following the outline presented in Figure 2B.</w:t>
      </w:r>
    </w:p>
    <w:p w:rsidR="00DB17CE" w:rsidRDefault="006265B5">
      <w:pPr>
        <w:spacing w:after="428" w:line="259" w:lineRule="auto"/>
        <w:ind w:left="26" w:firstLine="0"/>
        <w:jc w:val="left"/>
      </w:pPr>
      <w:r>
        <w:rPr>
          <w:noProof/>
        </w:rPr>
        <w:lastRenderedPageBreak/>
        <w:drawing>
          <wp:inline distT="0" distB="0" distL="0" distR="0">
            <wp:extent cx="6660170" cy="5341513"/>
            <wp:effectExtent l="0" t="0" r="0" b="0"/>
            <wp:docPr id="3207" name="Picture 3207"/>
            <wp:cNvGraphicFramePr/>
            <a:graphic xmlns:a="http://schemas.openxmlformats.org/drawingml/2006/main">
              <a:graphicData uri="http://schemas.openxmlformats.org/drawingml/2006/picture">
                <pic:pic xmlns:pic="http://schemas.openxmlformats.org/drawingml/2006/picture">
                  <pic:nvPicPr>
                    <pic:cNvPr id="3207" name="Picture 3207"/>
                    <pic:cNvPicPr/>
                  </pic:nvPicPr>
                  <pic:blipFill>
                    <a:blip r:embed="rId50"/>
                    <a:stretch>
                      <a:fillRect/>
                    </a:stretch>
                  </pic:blipFill>
                  <pic:spPr>
                    <a:xfrm>
                      <a:off x="0" y="0"/>
                      <a:ext cx="6660170" cy="5341513"/>
                    </a:xfrm>
                    <a:prstGeom prst="rect">
                      <a:avLst/>
                    </a:prstGeom>
                  </pic:spPr>
                </pic:pic>
              </a:graphicData>
            </a:graphic>
          </wp:inline>
        </w:drawing>
      </w:r>
    </w:p>
    <w:p w:rsidR="00DB17CE" w:rsidRDefault="006265B5">
      <w:pPr>
        <w:ind w:left="-5"/>
      </w:pPr>
      <w:r>
        <w:rPr>
          <w:b/>
        </w:rPr>
        <w:t xml:space="preserve">Supplementary Figure 23: Decompaction of dinoTADs upon transcriptional inhibition using </w:t>
      </w:r>
      <w:r>
        <w:rPr>
          <w:i/>
        </w:rPr>
        <w:t>α</w:t>
      </w:r>
      <w:r>
        <w:rPr>
          <w:b/>
        </w:rPr>
        <w:t>-amanitin</w:t>
      </w:r>
      <w:r>
        <w:t xml:space="preserve">. Shown is </w:t>
      </w:r>
      <w:r>
        <w:t>pseudochromosome 18. Two time courses were carried out following the outline presented in Figure 2B.</w:t>
      </w:r>
    </w:p>
    <w:p w:rsidR="00DB17CE" w:rsidRDefault="006265B5">
      <w:pPr>
        <w:spacing w:after="428" w:line="259" w:lineRule="auto"/>
        <w:ind w:left="26" w:firstLine="0"/>
        <w:jc w:val="left"/>
      </w:pPr>
      <w:r>
        <w:rPr>
          <w:noProof/>
        </w:rPr>
        <w:lastRenderedPageBreak/>
        <w:drawing>
          <wp:inline distT="0" distB="0" distL="0" distR="0">
            <wp:extent cx="6660380" cy="5369238"/>
            <wp:effectExtent l="0" t="0" r="0" b="0"/>
            <wp:docPr id="3220" name="Picture 3220"/>
            <wp:cNvGraphicFramePr/>
            <a:graphic xmlns:a="http://schemas.openxmlformats.org/drawingml/2006/main">
              <a:graphicData uri="http://schemas.openxmlformats.org/drawingml/2006/picture">
                <pic:pic xmlns:pic="http://schemas.openxmlformats.org/drawingml/2006/picture">
                  <pic:nvPicPr>
                    <pic:cNvPr id="3220" name="Picture 3220"/>
                    <pic:cNvPicPr/>
                  </pic:nvPicPr>
                  <pic:blipFill>
                    <a:blip r:embed="rId51"/>
                    <a:stretch>
                      <a:fillRect/>
                    </a:stretch>
                  </pic:blipFill>
                  <pic:spPr>
                    <a:xfrm>
                      <a:off x="0" y="0"/>
                      <a:ext cx="6660380" cy="5369238"/>
                    </a:xfrm>
                    <a:prstGeom prst="rect">
                      <a:avLst/>
                    </a:prstGeom>
                  </pic:spPr>
                </pic:pic>
              </a:graphicData>
            </a:graphic>
          </wp:inline>
        </w:drawing>
      </w:r>
    </w:p>
    <w:p w:rsidR="00DB17CE" w:rsidRDefault="006265B5">
      <w:pPr>
        <w:ind w:left="-5"/>
      </w:pPr>
      <w:r>
        <w:rPr>
          <w:b/>
        </w:rPr>
        <w:t xml:space="preserve">Supplementary Figure 24: Decompaction of dinoTADs upon transcriptional inhibition using </w:t>
      </w:r>
      <w:r>
        <w:rPr>
          <w:i/>
        </w:rPr>
        <w:t>α</w:t>
      </w:r>
      <w:r>
        <w:rPr>
          <w:b/>
        </w:rPr>
        <w:t>-amanitin</w:t>
      </w:r>
      <w:r>
        <w:t>. Shown are 50-kb resolution metaplots centered on dino</w:t>
      </w:r>
      <w:r>
        <w:t>TAD domain boundaries. Two time courses were carried out following the outline presented in Figure 2B.</w:t>
      </w:r>
    </w:p>
    <w:p w:rsidR="00DB17CE" w:rsidRDefault="006265B5">
      <w:pPr>
        <w:spacing w:after="428" w:line="259" w:lineRule="auto"/>
        <w:ind w:left="26" w:firstLine="0"/>
        <w:jc w:val="left"/>
      </w:pPr>
      <w:r>
        <w:rPr>
          <w:noProof/>
        </w:rPr>
        <w:lastRenderedPageBreak/>
        <w:drawing>
          <wp:inline distT="0" distB="0" distL="0" distR="0">
            <wp:extent cx="6660287" cy="3501594"/>
            <wp:effectExtent l="0" t="0" r="0" b="0"/>
            <wp:docPr id="3234" name="Picture 3234"/>
            <wp:cNvGraphicFramePr/>
            <a:graphic xmlns:a="http://schemas.openxmlformats.org/drawingml/2006/main">
              <a:graphicData uri="http://schemas.openxmlformats.org/drawingml/2006/picture">
                <pic:pic xmlns:pic="http://schemas.openxmlformats.org/drawingml/2006/picture">
                  <pic:nvPicPr>
                    <pic:cNvPr id="3234" name="Picture 3234"/>
                    <pic:cNvPicPr/>
                  </pic:nvPicPr>
                  <pic:blipFill>
                    <a:blip r:embed="rId52"/>
                    <a:stretch>
                      <a:fillRect/>
                    </a:stretch>
                  </pic:blipFill>
                  <pic:spPr>
                    <a:xfrm>
                      <a:off x="0" y="0"/>
                      <a:ext cx="6660287" cy="3501594"/>
                    </a:xfrm>
                    <a:prstGeom prst="rect">
                      <a:avLst/>
                    </a:prstGeom>
                  </pic:spPr>
                </pic:pic>
              </a:graphicData>
            </a:graphic>
          </wp:inline>
        </w:drawing>
      </w:r>
    </w:p>
    <w:p w:rsidR="00DB17CE" w:rsidRDefault="006265B5">
      <w:pPr>
        <w:ind w:left="-5"/>
      </w:pPr>
      <w:r>
        <w:rPr>
          <w:b/>
        </w:rPr>
        <w:t>Supplementary Figure 25: Blurring of dinoTAD boundaries upon transcriptional inhibition using triptolide</w:t>
      </w:r>
      <w:r>
        <w:t>. Shown is pseudochromosome 10. The triptolide time course was carried out following the outline presented in Figure 2B.</w:t>
      </w:r>
      <w:r>
        <w:br w:type="page"/>
      </w:r>
    </w:p>
    <w:p w:rsidR="00DB17CE" w:rsidRDefault="006265B5">
      <w:pPr>
        <w:spacing w:after="428" w:line="259" w:lineRule="auto"/>
        <w:ind w:left="26" w:firstLine="0"/>
        <w:jc w:val="left"/>
      </w:pPr>
      <w:r>
        <w:rPr>
          <w:noProof/>
        </w:rPr>
        <w:lastRenderedPageBreak/>
        <w:drawing>
          <wp:inline distT="0" distB="0" distL="0" distR="0">
            <wp:extent cx="6660632" cy="3491521"/>
            <wp:effectExtent l="0" t="0" r="0" b="0"/>
            <wp:docPr id="3244" name="Picture 3244"/>
            <wp:cNvGraphicFramePr/>
            <a:graphic xmlns:a="http://schemas.openxmlformats.org/drawingml/2006/main">
              <a:graphicData uri="http://schemas.openxmlformats.org/drawingml/2006/picture">
                <pic:pic xmlns:pic="http://schemas.openxmlformats.org/drawingml/2006/picture">
                  <pic:nvPicPr>
                    <pic:cNvPr id="3244" name="Picture 3244"/>
                    <pic:cNvPicPr/>
                  </pic:nvPicPr>
                  <pic:blipFill>
                    <a:blip r:embed="rId53"/>
                    <a:stretch>
                      <a:fillRect/>
                    </a:stretch>
                  </pic:blipFill>
                  <pic:spPr>
                    <a:xfrm>
                      <a:off x="0" y="0"/>
                      <a:ext cx="6660632" cy="3491521"/>
                    </a:xfrm>
                    <a:prstGeom prst="rect">
                      <a:avLst/>
                    </a:prstGeom>
                  </pic:spPr>
                </pic:pic>
              </a:graphicData>
            </a:graphic>
          </wp:inline>
        </w:drawing>
      </w:r>
    </w:p>
    <w:p w:rsidR="00DB17CE" w:rsidRDefault="006265B5">
      <w:pPr>
        <w:ind w:left="-5"/>
      </w:pPr>
      <w:r>
        <w:rPr>
          <w:b/>
        </w:rPr>
        <w:t>Supplementary Figure 26: Blurring of dinoTAD boundaries upon transcriptional inhibition using triptolide</w:t>
      </w:r>
      <w:r>
        <w:t xml:space="preserve">. Shown is pseudochromosome </w:t>
      </w:r>
      <w:r>
        <w:t>17. The triptolide time course was carried out following the outline presented in Figure 2B.</w:t>
      </w:r>
      <w:r>
        <w:br w:type="page"/>
      </w:r>
    </w:p>
    <w:p w:rsidR="00DB17CE" w:rsidRDefault="006265B5">
      <w:pPr>
        <w:spacing w:after="428" w:line="259" w:lineRule="auto"/>
        <w:ind w:left="26" w:firstLine="0"/>
        <w:jc w:val="left"/>
      </w:pPr>
      <w:r>
        <w:rPr>
          <w:noProof/>
        </w:rPr>
        <w:lastRenderedPageBreak/>
        <w:drawing>
          <wp:inline distT="0" distB="0" distL="0" distR="0">
            <wp:extent cx="6659919" cy="3502458"/>
            <wp:effectExtent l="0" t="0" r="0" b="0"/>
            <wp:docPr id="3254" name="Picture 3254"/>
            <wp:cNvGraphicFramePr/>
            <a:graphic xmlns:a="http://schemas.openxmlformats.org/drawingml/2006/main">
              <a:graphicData uri="http://schemas.openxmlformats.org/drawingml/2006/picture">
                <pic:pic xmlns:pic="http://schemas.openxmlformats.org/drawingml/2006/picture">
                  <pic:nvPicPr>
                    <pic:cNvPr id="3254" name="Picture 3254"/>
                    <pic:cNvPicPr/>
                  </pic:nvPicPr>
                  <pic:blipFill>
                    <a:blip r:embed="rId54"/>
                    <a:stretch>
                      <a:fillRect/>
                    </a:stretch>
                  </pic:blipFill>
                  <pic:spPr>
                    <a:xfrm>
                      <a:off x="0" y="0"/>
                      <a:ext cx="6659919" cy="3502458"/>
                    </a:xfrm>
                    <a:prstGeom prst="rect">
                      <a:avLst/>
                    </a:prstGeom>
                  </pic:spPr>
                </pic:pic>
              </a:graphicData>
            </a:graphic>
          </wp:inline>
        </w:drawing>
      </w:r>
    </w:p>
    <w:p w:rsidR="00DB17CE" w:rsidRDefault="006265B5">
      <w:pPr>
        <w:ind w:left="-5"/>
      </w:pPr>
      <w:r>
        <w:rPr>
          <w:b/>
        </w:rPr>
        <w:t>Supplementary Figure 27: Blurring of dinoTAD boundaries upon transcriptional inhibition using triptolide</w:t>
      </w:r>
      <w:r>
        <w:t>. Shown is pseudochromosome 18. The triptolide time cour</w:t>
      </w:r>
      <w:r>
        <w:t>se was carried out following the outline presented in Figure 2B.</w:t>
      </w:r>
      <w:r>
        <w:br w:type="page"/>
      </w:r>
    </w:p>
    <w:p w:rsidR="00DB17CE" w:rsidRDefault="006265B5">
      <w:pPr>
        <w:spacing w:after="428" w:line="259" w:lineRule="auto"/>
        <w:ind w:left="26" w:firstLine="0"/>
        <w:jc w:val="left"/>
      </w:pPr>
      <w:r>
        <w:rPr>
          <w:noProof/>
        </w:rPr>
        <w:lastRenderedPageBreak/>
        <w:drawing>
          <wp:inline distT="0" distB="0" distL="0" distR="0">
            <wp:extent cx="6660074" cy="3525321"/>
            <wp:effectExtent l="0" t="0" r="0" b="0"/>
            <wp:docPr id="3264" name="Picture 3264"/>
            <wp:cNvGraphicFramePr/>
            <a:graphic xmlns:a="http://schemas.openxmlformats.org/drawingml/2006/main">
              <a:graphicData uri="http://schemas.openxmlformats.org/drawingml/2006/picture">
                <pic:pic xmlns:pic="http://schemas.openxmlformats.org/drawingml/2006/picture">
                  <pic:nvPicPr>
                    <pic:cNvPr id="3264" name="Picture 3264"/>
                    <pic:cNvPicPr/>
                  </pic:nvPicPr>
                  <pic:blipFill>
                    <a:blip r:embed="rId55"/>
                    <a:stretch>
                      <a:fillRect/>
                    </a:stretch>
                  </pic:blipFill>
                  <pic:spPr>
                    <a:xfrm>
                      <a:off x="0" y="0"/>
                      <a:ext cx="6660074" cy="3525321"/>
                    </a:xfrm>
                    <a:prstGeom prst="rect">
                      <a:avLst/>
                    </a:prstGeom>
                  </pic:spPr>
                </pic:pic>
              </a:graphicData>
            </a:graphic>
          </wp:inline>
        </w:drawing>
      </w:r>
    </w:p>
    <w:p w:rsidR="00DB17CE" w:rsidRDefault="006265B5">
      <w:pPr>
        <w:ind w:left="-5"/>
      </w:pPr>
      <w:r>
        <w:rPr>
          <w:b/>
        </w:rPr>
        <w:t>Supplementary Figure 28: Blurring of dinoTAD boundaries upon transcriptional inhibition using triptolide</w:t>
      </w:r>
      <w:r>
        <w:t>. Shown are 50-kb resolution metaplots centered on dinoTAD domain boundaries. The triptolide time course was carried out following the outline presented in Figure 2B.</w:t>
      </w:r>
    </w:p>
    <w:sectPr w:rsidR="00DB17CE">
      <w:headerReference w:type="even" r:id="rId56"/>
      <w:headerReference w:type="default" r:id="rId57"/>
      <w:footerReference w:type="even" r:id="rId58"/>
      <w:footerReference w:type="default" r:id="rId59"/>
      <w:headerReference w:type="first" r:id="rId60"/>
      <w:footerReference w:type="first" r:id="rId61"/>
      <w:pgSz w:w="12240" w:h="15840"/>
      <w:pgMar w:top="1134" w:right="850" w:bottom="2826" w:left="850" w:header="720" w:footer="497"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265B5" w:rsidRDefault="006265B5">
      <w:pPr>
        <w:spacing w:after="0" w:line="240" w:lineRule="auto"/>
      </w:pPr>
      <w:r>
        <w:separator/>
      </w:r>
    </w:p>
  </w:endnote>
  <w:endnote w:type="continuationSeparator" w:id="0">
    <w:p w:rsidR="006265B5" w:rsidRDefault="006265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0" w:line="259" w:lineRule="auto"/>
      <w:ind w:left="0" w:firstLine="0"/>
      <w:jc w:val="center"/>
    </w:pPr>
    <w:r>
      <w:t xml:space="preserve">SM </w:t>
    </w:r>
    <w:r>
      <w:fldChar w:fldCharType="begin"/>
    </w:r>
    <w:r>
      <w:instrText xml:space="preserve"> PAGE   \* MERGEFORMAT </w:instrText>
    </w:r>
    <w:r>
      <w:fldChar w:fldCharType="separate"/>
    </w:r>
    <w:r>
      <w:t>1</w:t>
    </w:r>
    <w: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0" w:line="259" w:lineRule="auto"/>
      <w:ind w:left="0" w:firstLine="0"/>
      <w:jc w:val="center"/>
    </w:pPr>
    <w:r>
      <w:t xml:space="preserve">SM </w:t>
    </w:r>
    <w:r>
      <w:fldChar w:fldCharType="begin"/>
    </w:r>
    <w:r>
      <w:instrText xml:space="preserve"> PAGE   \* MERGEFORMAT </w:instrText>
    </w:r>
    <w:r>
      <w:fldChar w:fldCharType="separate"/>
    </w:r>
    <w:r w:rsidR="00C94DA1">
      <w:rPr>
        <w:noProof/>
      </w:rPr>
      <w:t>13</w:t>
    </w:r>
    <w: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0" w:line="259" w:lineRule="auto"/>
      <w:ind w:left="0" w:firstLine="0"/>
      <w:jc w:val="center"/>
    </w:pPr>
    <w:r>
      <w:t xml:space="preserve">SM </w:t>
    </w:r>
    <w:r>
      <w:fldChar w:fldCharType="begin"/>
    </w:r>
    <w:r>
      <w:instrText xml:space="preserve"> PAGE   \* MERGEFORMAT </w:instrText>
    </w:r>
    <w:r>
      <w:fldChar w:fldCharType="separate"/>
    </w:r>
    <w:r w:rsidR="00C94DA1">
      <w:rPr>
        <w:noProof/>
      </w:rPr>
      <w:t>9</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0" w:line="259" w:lineRule="auto"/>
      <w:ind w:left="0" w:firstLine="0"/>
      <w:jc w:val="center"/>
    </w:pPr>
    <w:r>
      <w:fldChar w:fldCharType="begin"/>
    </w:r>
    <w:r>
      <w:instrText xml:space="preserve"> PAGE   \* MERGEFOR</w:instrText>
    </w:r>
    <w:r>
      <w:instrText xml:space="preserve">MAT </w:instrText>
    </w:r>
    <w:r>
      <w:fldChar w:fldCharType="separate"/>
    </w:r>
    <w:r w:rsidR="00C94DA1">
      <w:rPr>
        <w:noProof/>
      </w:rPr>
      <w:t>9</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0" w:line="259" w:lineRule="auto"/>
      <w:ind w:left="0" w:firstLine="0"/>
      <w:jc w:val="center"/>
    </w:pPr>
    <w:r>
      <w:t xml:space="preserve">SM </w:t>
    </w:r>
    <w:r>
      <w:fldChar w:fldCharType="begin"/>
    </w:r>
    <w:r>
      <w:instrText xml:space="preserve"> PAGE   \* MERGEFORMAT </w:instrText>
    </w:r>
    <w:r>
      <w:fldChar w:fldCharType="separate"/>
    </w:r>
    <w:r>
      <w:t>1</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0" w:line="259" w:lineRule="auto"/>
      <w:ind w:left="0" w:firstLine="0"/>
      <w:jc w:val="center"/>
    </w:pPr>
    <w:r>
      <w:t xml:space="preserve">SM </w:t>
    </w:r>
    <w:r>
      <w:fldChar w:fldCharType="begin"/>
    </w:r>
    <w:r>
      <w:instrText xml:space="preserve"> PAGE   \* MERGEFORMAT </w:instrText>
    </w:r>
    <w:r>
      <w:fldChar w:fldCharType="separate"/>
    </w:r>
    <w:r w:rsidR="00C94DA1">
      <w:rPr>
        <w:noProof/>
      </w:rPr>
      <w:t>3</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0" w:line="259" w:lineRule="auto"/>
      <w:ind w:left="0" w:firstLine="0"/>
      <w:jc w:val="center"/>
    </w:pPr>
    <w:r>
      <w:t xml:space="preserve">SM </w:t>
    </w:r>
    <w:r>
      <w:fldChar w:fldCharType="begin"/>
    </w:r>
    <w:r>
      <w:instrText xml:space="preserve"> PAGE   \* MERGEFORMAT </w:instrText>
    </w:r>
    <w:r>
      <w:fldChar w:fldCharType="separate"/>
    </w:r>
    <w:r>
      <w:t>1</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412" w:line="259" w:lineRule="auto"/>
      <w:ind w:left="0" w:right="62" w:firstLine="0"/>
      <w:jc w:val="right"/>
    </w:pPr>
    <w:r>
      <w:rPr>
        <w:i/>
        <w:sz w:val="18"/>
      </w:rPr>
      <w:t>Continued on next page</w:t>
    </w:r>
  </w:p>
  <w:p w:rsidR="00DB17CE" w:rsidRDefault="006265B5">
    <w:pPr>
      <w:spacing w:after="0" w:line="259" w:lineRule="auto"/>
      <w:ind w:left="0" w:right="141" w:firstLine="0"/>
      <w:jc w:val="center"/>
    </w:pPr>
    <w:r>
      <w:t xml:space="preserve">SM </w:t>
    </w:r>
    <w:r>
      <w:fldChar w:fldCharType="begin"/>
    </w:r>
    <w:r>
      <w:instrText xml:space="preserve"> PAGE   \* MERGEFORMAT </w:instrText>
    </w:r>
    <w:r>
      <w:fldChar w:fldCharType="separate"/>
    </w:r>
    <w:r>
      <w:t>5</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412" w:line="259" w:lineRule="auto"/>
      <w:ind w:left="0" w:right="62" w:firstLine="0"/>
      <w:jc w:val="right"/>
    </w:pPr>
    <w:r>
      <w:rPr>
        <w:i/>
        <w:sz w:val="18"/>
      </w:rPr>
      <w:t>Continued on next page</w:t>
    </w:r>
  </w:p>
  <w:p w:rsidR="00DB17CE" w:rsidRDefault="006265B5">
    <w:pPr>
      <w:spacing w:after="0" w:line="259" w:lineRule="auto"/>
      <w:ind w:left="0" w:right="141" w:firstLine="0"/>
      <w:jc w:val="center"/>
    </w:pPr>
    <w:r>
      <w:t xml:space="preserve">SM </w:t>
    </w:r>
    <w:r>
      <w:fldChar w:fldCharType="begin"/>
    </w:r>
    <w:r>
      <w:instrText xml:space="preserve"> PAGE   \* MERGEFORMAT </w:instrText>
    </w:r>
    <w:r>
      <w:fldChar w:fldCharType="separate"/>
    </w:r>
    <w:r w:rsidR="00C94DA1">
      <w:rPr>
        <w:noProof/>
      </w:rPr>
      <w:t>5</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412" w:line="259" w:lineRule="auto"/>
      <w:ind w:left="0" w:right="62" w:firstLine="0"/>
      <w:jc w:val="right"/>
    </w:pPr>
    <w:r>
      <w:rPr>
        <w:i/>
        <w:sz w:val="18"/>
      </w:rPr>
      <w:t>Continued on next page</w:t>
    </w:r>
  </w:p>
  <w:p w:rsidR="00DB17CE" w:rsidRDefault="006265B5">
    <w:pPr>
      <w:spacing w:after="0" w:line="259" w:lineRule="auto"/>
      <w:ind w:left="0" w:right="141" w:firstLine="0"/>
      <w:jc w:val="center"/>
    </w:pPr>
    <w:r>
      <w:t xml:space="preserve">SM </w:t>
    </w:r>
    <w:r>
      <w:fldChar w:fldCharType="begin"/>
    </w:r>
    <w:r>
      <w:instrText xml:space="preserve"> PAGE   \* MERGEFORMAT </w:instrText>
    </w:r>
    <w:r>
      <w:fldChar w:fldCharType="separate"/>
    </w:r>
    <w:r w:rsidR="00C94DA1">
      <w:rPr>
        <w:noProof/>
      </w:rPr>
      <w:t>4</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265B5" w:rsidRDefault="006265B5">
      <w:pPr>
        <w:spacing w:after="0" w:line="240" w:lineRule="auto"/>
      </w:pPr>
      <w:r>
        <w:separator/>
      </w:r>
    </w:p>
  </w:footnote>
  <w:footnote w:type="continuationSeparator" w:id="0">
    <w:p w:rsidR="006265B5" w:rsidRDefault="006265B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DB17CE">
    <w:pPr>
      <w:spacing w:after="160" w:line="259" w:lineRule="auto"/>
      <w:ind w:lef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DB17CE">
    <w:pPr>
      <w:spacing w:after="160" w:line="259" w:lineRule="auto"/>
      <w:ind w:lef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DB17CE">
    <w:pPr>
      <w:spacing w:after="160" w:line="259" w:lineRule="auto"/>
      <w:ind w:lef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0" w:line="259" w:lineRule="auto"/>
      <w:ind w:left="128" w:firstLine="0"/>
      <w:jc w:val="center"/>
    </w:pPr>
    <w:r>
      <w:rPr>
        <w:sz w:val="18"/>
      </w:rPr>
      <w:t xml:space="preserve">Supplementary Table 2 – </w:t>
    </w:r>
    <w:r>
      <w:rPr>
        <w:i/>
        <w:sz w:val="18"/>
      </w:rPr>
      <w:t>Continued from previous page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DB17CE">
    <w:pPr>
      <w:spacing w:after="160" w:line="259" w:lineRule="auto"/>
      <w:ind w:lef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DB17CE">
    <w:pPr>
      <w:spacing w:after="160" w:line="259" w:lineRule="auto"/>
      <w:ind w:lef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DB17CE">
    <w:pPr>
      <w:spacing w:after="160" w:line="259" w:lineRule="auto"/>
      <w:ind w:lef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DB17CE">
    <w:pPr>
      <w:spacing w:after="160" w:line="259" w:lineRule="auto"/>
      <w:ind w:lef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DB17CE">
    <w:pPr>
      <w:spacing w:after="160" w:line="259" w:lineRule="auto"/>
      <w:ind w:lef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0" w:line="259" w:lineRule="auto"/>
      <w:ind w:left="0" w:right="14" w:firstLine="0"/>
      <w:jc w:val="center"/>
    </w:pPr>
    <w:r>
      <w:rPr>
        <w:sz w:val="18"/>
      </w:rPr>
      <w:t xml:space="preserve">Supplementary Table 2 – </w:t>
    </w:r>
    <w:r>
      <w:rPr>
        <w:i/>
        <w:sz w:val="18"/>
      </w:rPr>
      <w:t>Continued from previous page</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6265B5">
    <w:pPr>
      <w:spacing w:after="0" w:line="259" w:lineRule="auto"/>
      <w:ind w:left="0" w:right="14" w:firstLine="0"/>
      <w:jc w:val="center"/>
    </w:pPr>
    <w:r>
      <w:rPr>
        <w:sz w:val="18"/>
      </w:rPr>
      <w:t xml:space="preserve">Supplementary Table 2 – </w:t>
    </w:r>
    <w:r>
      <w:rPr>
        <w:i/>
        <w:sz w:val="18"/>
      </w:rPr>
      <w:t>Continued from previous page</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17CE" w:rsidRDefault="00DB17CE">
    <w:pPr>
      <w:spacing w:after="160" w:line="259" w:lineRule="auto"/>
      <w:ind w:lef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AEC5B00"/>
    <w:multiLevelType w:val="hybridMultilevel"/>
    <w:tmpl w:val="9A16A46E"/>
    <w:lvl w:ilvl="0" w:tplc="9756283E">
      <w:start w:val="1"/>
      <w:numFmt w:val="decimal"/>
      <w:lvlText w:val="%1."/>
      <w:lvlJc w:val="left"/>
      <w:pPr>
        <w:ind w:left="45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1" w:tplc="3BB8889C">
      <w:start w:val="1"/>
      <w:numFmt w:val="lowerLetter"/>
      <w:lvlText w:val="%2"/>
      <w:lvlJc w:val="left"/>
      <w:pPr>
        <w:ind w:left="111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2" w:tplc="61A6825A">
      <w:start w:val="1"/>
      <w:numFmt w:val="lowerRoman"/>
      <w:lvlText w:val="%3"/>
      <w:lvlJc w:val="left"/>
      <w:pPr>
        <w:ind w:left="183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3" w:tplc="1B98139C">
      <w:start w:val="1"/>
      <w:numFmt w:val="decimal"/>
      <w:lvlText w:val="%4"/>
      <w:lvlJc w:val="left"/>
      <w:pPr>
        <w:ind w:left="255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4" w:tplc="94922936">
      <w:start w:val="1"/>
      <w:numFmt w:val="lowerLetter"/>
      <w:lvlText w:val="%5"/>
      <w:lvlJc w:val="left"/>
      <w:pPr>
        <w:ind w:left="327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5" w:tplc="8B1C3DD4">
      <w:start w:val="1"/>
      <w:numFmt w:val="lowerRoman"/>
      <w:lvlText w:val="%6"/>
      <w:lvlJc w:val="left"/>
      <w:pPr>
        <w:ind w:left="399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6" w:tplc="37A8AA8C">
      <w:start w:val="1"/>
      <w:numFmt w:val="decimal"/>
      <w:lvlText w:val="%7"/>
      <w:lvlJc w:val="left"/>
      <w:pPr>
        <w:ind w:left="471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7" w:tplc="60A06198">
      <w:start w:val="1"/>
      <w:numFmt w:val="lowerLetter"/>
      <w:lvlText w:val="%8"/>
      <w:lvlJc w:val="left"/>
      <w:pPr>
        <w:ind w:left="543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8" w:tplc="85F81488">
      <w:start w:val="1"/>
      <w:numFmt w:val="lowerRoman"/>
      <w:lvlText w:val="%9"/>
      <w:lvlJc w:val="left"/>
      <w:pPr>
        <w:ind w:left="615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42741C6D"/>
    <w:multiLevelType w:val="hybridMultilevel"/>
    <w:tmpl w:val="7BF84C9E"/>
    <w:lvl w:ilvl="0" w:tplc="AC8882B6">
      <w:start w:val="6"/>
      <w:numFmt w:val="decimal"/>
      <w:lvlText w:val="%1"/>
      <w:lvlJc w:val="left"/>
      <w:pPr>
        <w:ind w:left="1438"/>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1" w:tplc="1422E39A">
      <w:start w:val="1"/>
      <w:numFmt w:val="lowerLetter"/>
      <w:lvlText w:val="%2"/>
      <w:lvlJc w:val="left"/>
      <w:pPr>
        <w:ind w:left="233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2" w:tplc="1540B5B6">
      <w:start w:val="1"/>
      <w:numFmt w:val="lowerRoman"/>
      <w:lvlText w:val="%3"/>
      <w:lvlJc w:val="left"/>
      <w:pPr>
        <w:ind w:left="305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3" w:tplc="AEC69040">
      <w:start w:val="1"/>
      <w:numFmt w:val="decimal"/>
      <w:lvlText w:val="%4"/>
      <w:lvlJc w:val="left"/>
      <w:pPr>
        <w:ind w:left="377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4" w:tplc="659457C6">
      <w:start w:val="1"/>
      <w:numFmt w:val="lowerLetter"/>
      <w:lvlText w:val="%5"/>
      <w:lvlJc w:val="left"/>
      <w:pPr>
        <w:ind w:left="449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5" w:tplc="9C2EFF70">
      <w:start w:val="1"/>
      <w:numFmt w:val="lowerRoman"/>
      <w:lvlText w:val="%6"/>
      <w:lvlJc w:val="left"/>
      <w:pPr>
        <w:ind w:left="521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6" w:tplc="21F4FAA4">
      <w:start w:val="1"/>
      <w:numFmt w:val="decimal"/>
      <w:lvlText w:val="%7"/>
      <w:lvlJc w:val="left"/>
      <w:pPr>
        <w:ind w:left="593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7" w:tplc="EC3EC172">
      <w:start w:val="1"/>
      <w:numFmt w:val="lowerLetter"/>
      <w:lvlText w:val="%8"/>
      <w:lvlJc w:val="left"/>
      <w:pPr>
        <w:ind w:left="665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8" w:tplc="CB3A2C20">
      <w:start w:val="1"/>
      <w:numFmt w:val="lowerRoman"/>
      <w:lvlText w:val="%9"/>
      <w:lvlJc w:val="left"/>
      <w:pPr>
        <w:ind w:left="737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abstractNum>
  <w:abstractNum w:abstractNumId="2" w15:restartNumberingAfterBreak="0">
    <w:nsid w:val="4B3B66AF"/>
    <w:multiLevelType w:val="hybridMultilevel"/>
    <w:tmpl w:val="47DE7358"/>
    <w:lvl w:ilvl="0" w:tplc="56FEBEC2">
      <w:start w:val="1"/>
      <w:numFmt w:val="decimal"/>
      <w:lvlText w:val="%1"/>
      <w:lvlJc w:val="left"/>
      <w:pPr>
        <w:ind w:left="1532"/>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1" w:tplc="AD36698A">
      <w:start w:val="1"/>
      <w:numFmt w:val="lowerLetter"/>
      <w:lvlText w:val="%2"/>
      <w:lvlJc w:val="left"/>
      <w:pPr>
        <w:ind w:left="248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2" w:tplc="2FDA3224">
      <w:start w:val="1"/>
      <w:numFmt w:val="lowerRoman"/>
      <w:lvlText w:val="%3"/>
      <w:lvlJc w:val="left"/>
      <w:pPr>
        <w:ind w:left="320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3" w:tplc="FED8544A">
      <w:start w:val="1"/>
      <w:numFmt w:val="decimal"/>
      <w:lvlText w:val="%4"/>
      <w:lvlJc w:val="left"/>
      <w:pPr>
        <w:ind w:left="392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4" w:tplc="2B6063E8">
      <w:start w:val="1"/>
      <w:numFmt w:val="lowerLetter"/>
      <w:lvlText w:val="%5"/>
      <w:lvlJc w:val="left"/>
      <w:pPr>
        <w:ind w:left="464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5" w:tplc="599E8E86">
      <w:start w:val="1"/>
      <w:numFmt w:val="lowerRoman"/>
      <w:lvlText w:val="%6"/>
      <w:lvlJc w:val="left"/>
      <w:pPr>
        <w:ind w:left="536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6" w:tplc="16587ECE">
      <w:start w:val="1"/>
      <w:numFmt w:val="decimal"/>
      <w:lvlText w:val="%7"/>
      <w:lvlJc w:val="left"/>
      <w:pPr>
        <w:ind w:left="608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7" w:tplc="0802AD68">
      <w:start w:val="1"/>
      <w:numFmt w:val="lowerLetter"/>
      <w:lvlText w:val="%8"/>
      <w:lvlJc w:val="left"/>
      <w:pPr>
        <w:ind w:left="680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8" w:tplc="1F7C24FE">
      <w:start w:val="1"/>
      <w:numFmt w:val="lowerRoman"/>
      <w:lvlText w:val="%9"/>
      <w:lvlJc w:val="left"/>
      <w:pPr>
        <w:ind w:left="752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17CE"/>
    <w:rsid w:val="006265B5"/>
    <w:rsid w:val="00C94DA1"/>
    <w:rsid w:val="00DB17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D236CDF-3EC5-494B-9BA7-617E513F5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0" w:line="256" w:lineRule="auto"/>
      <w:ind w:left="10" w:hanging="10"/>
      <w:jc w:val="both"/>
    </w:pPr>
    <w:rPr>
      <w:rFonts w:ascii="Cambria" w:eastAsia="Cambria" w:hAnsi="Cambria" w:cs="Cambria"/>
      <w:color w:val="000000"/>
      <w:sz w:val="20"/>
    </w:rPr>
  </w:style>
  <w:style w:type="paragraph" w:styleId="Heading1">
    <w:name w:val="heading 1"/>
    <w:next w:val="Normal"/>
    <w:link w:val="Heading1Char"/>
    <w:uiPriority w:val="9"/>
    <w:unhideWhenUsed/>
    <w:qFormat/>
    <w:pPr>
      <w:keepNext/>
      <w:keepLines/>
      <w:spacing w:after="3" w:line="265" w:lineRule="auto"/>
      <w:ind w:left="10" w:hanging="10"/>
      <w:jc w:val="center"/>
      <w:outlineLvl w:val="0"/>
    </w:pPr>
    <w:rPr>
      <w:rFonts w:ascii="Cambria" w:eastAsia="Cambria" w:hAnsi="Cambria" w:cs="Cambria"/>
      <w:b/>
      <w:color w:val="000000"/>
      <w:sz w:val="24"/>
    </w:rPr>
  </w:style>
  <w:style w:type="paragraph" w:styleId="Heading2">
    <w:name w:val="heading 2"/>
    <w:next w:val="Normal"/>
    <w:link w:val="Heading2Char"/>
    <w:uiPriority w:val="9"/>
    <w:unhideWhenUsed/>
    <w:qFormat/>
    <w:pPr>
      <w:keepNext/>
      <w:keepLines/>
      <w:spacing w:after="3" w:line="265" w:lineRule="auto"/>
      <w:ind w:left="10" w:hanging="10"/>
      <w:jc w:val="center"/>
      <w:outlineLvl w:val="1"/>
    </w:pPr>
    <w:rPr>
      <w:rFonts w:ascii="Cambria" w:eastAsia="Cambria" w:hAnsi="Cambria" w:cs="Cambria"/>
      <w:b/>
      <w:color w:val="000000"/>
      <w:sz w:val="24"/>
    </w:rPr>
  </w:style>
  <w:style w:type="paragraph" w:styleId="Heading3">
    <w:name w:val="heading 3"/>
    <w:next w:val="Normal"/>
    <w:link w:val="Heading3Char"/>
    <w:uiPriority w:val="9"/>
    <w:unhideWhenUsed/>
    <w:qFormat/>
    <w:pPr>
      <w:keepNext/>
      <w:keepLines/>
      <w:spacing w:after="125"/>
      <w:ind w:left="284" w:right="274" w:hanging="10"/>
      <w:jc w:val="center"/>
      <w:outlineLvl w:val="2"/>
    </w:pPr>
    <w:rPr>
      <w:rFonts w:ascii="Cambria" w:eastAsia="Cambria" w:hAnsi="Cambria" w:cs="Cambria"/>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mbria" w:eastAsia="Cambria" w:hAnsi="Cambria" w:cs="Cambria"/>
      <w:b/>
      <w:color w:val="000000"/>
      <w:sz w:val="20"/>
    </w:rPr>
  </w:style>
  <w:style w:type="character" w:customStyle="1" w:styleId="Heading1Char">
    <w:name w:val="Heading 1 Char"/>
    <w:link w:val="Heading1"/>
    <w:rPr>
      <w:rFonts w:ascii="Cambria" w:eastAsia="Cambria" w:hAnsi="Cambria" w:cs="Cambria"/>
      <w:b/>
      <w:color w:val="000000"/>
      <w:sz w:val="24"/>
    </w:rPr>
  </w:style>
  <w:style w:type="character" w:customStyle="1" w:styleId="Heading2Char">
    <w:name w:val="Heading 2 Char"/>
    <w:link w:val="Heading2"/>
    <w:rPr>
      <w:rFonts w:ascii="Cambria" w:eastAsia="Cambria" w:hAnsi="Cambria" w:cs="Cambria"/>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footer" Target="footer5.xml"/><Relationship Id="rId26" Type="http://schemas.openxmlformats.org/officeDocument/2006/relationships/header" Target="header9.xml"/><Relationship Id="rId39" Type="http://schemas.openxmlformats.org/officeDocument/2006/relationships/image" Target="media/image15.png"/><Relationship Id="rId21" Type="http://schemas.openxmlformats.org/officeDocument/2006/relationships/image" Target="media/image3.png"/><Relationship Id="rId34"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theme" Target="theme/theme1.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footer" Target="footer6.xml"/><Relationship Id="rId29" Type="http://schemas.openxmlformats.org/officeDocument/2006/relationships/image" Target="media/image5.png"/><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footer" Target="footer7.xm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footer" Target="footer10.xm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header" Target="header11.xml"/><Relationship Id="rId61" Type="http://schemas.openxmlformats.org/officeDocument/2006/relationships/footer" Target="footer12.xml"/><Relationship Id="rId10" Type="http://schemas.openxmlformats.org/officeDocument/2006/relationships/footer" Target="footer2.xml"/><Relationship Id="rId19" Type="http://schemas.openxmlformats.org/officeDocument/2006/relationships/header" Target="header6.xml"/><Relationship Id="rId31" Type="http://schemas.openxmlformats.org/officeDocument/2006/relationships/image" Target="media/image7.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header" Target="header1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header" Target="header7.xml"/><Relationship Id="rId27" Type="http://schemas.openxmlformats.org/officeDocument/2006/relationships/footer" Target="footer9.xml"/><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header" Target="header10.xml"/><Relationship Id="rId8" Type="http://schemas.openxmlformats.org/officeDocument/2006/relationships/header" Target="header2.xml"/><Relationship Id="rId51" Type="http://schemas.openxmlformats.org/officeDocument/2006/relationships/image" Target="media/image27.pn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footer" Target="footer4.xml"/><Relationship Id="rId25" Type="http://schemas.openxmlformats.org/officeDocument/2006/relationships/footer" Target="footer8.xm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footer" Target="footer1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46</Pages>
  <Words>10387</Words>
  <Characters>59209</Characters>
  <Application>Microsoft Office Word</Application>
  <DocSecurity>0</DocSecurity>
  <Lines>493</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69458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User</cp:lastModifiedBy>
  <cp:revision>2</cp:revision>
  <dcterms:created xsi:type="dcterms:W3CDTF">2020-02-29T08:24:00Z</dcterms:created>
  <dcterms:modified xsi:type="dcterms:W3CDTF">2020-02-29T08:24:00Z</dcterms:modified>
</cp:coreProperties>
</file>