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F1BDE" w:rsidRDefault="003B060E">
      <w:pPr>
        <w:pStyle w:val="Heading2"/>
      </w:pPr>
      <w:bookmarkStart w:id="0" w:name="_imgl0mgj3x4d" w:colFirst="0" w:colLast="0"/>
      <w:bookmarkEnd w:id="0"/>
      <w:r>
        <w:t xml:space="preserve"> </w:t>
      </w:r>
      <w:proofErr w:type="spellStart"/>
      <w:r>
        <w:t>i</w:t>
      </w:r>
      <w:proofErr w:type="spellEnd"/>
      <w:r>
        <w:tab/>
        <w:t>Title</w:t>
      </w:r>
    </w:p>
    <w:p w14:paraId="00000002" w14:textId="77777777" w:rsidR="000F1BDE" w:rsidRDefault="003B060E">
      <w:pPr>
        <w:pStyle w:val="Heading2"/>
      </w:pPr>
      <w:bookmarkStart w:id="1" w:name="_tqctv7es2zde" w:colFirst="0" w:colLast="0"/>
      <w:bookmarkEnd w:id="1"/>
      <w:r>
        <w:t>Measuring inaccessible chromatin genome-wide using Protect-seq</w:t>
      </w:r>
    </w:p>
    <w:p w14:paraId="00000003" w14:textId="77777777" w:rsidR="000F1BDE" w:rsidRDefault="000F1BDE"/>
    <w:p w14:paraId="00000004" w14:textId="77777777" w:rsidR="000F1BDE" w:rsidRDefault="003B060E">
      <w:pPr>
        <w:rPr>
          <w:sz w:val="26"/>
          <w:szCs w:val="26"/>
          <w:vertAlign w:val="superscript"/>
        </w:rPr>
      </w:pPr>
      <w:r>
        <w:rPr>
          <w:sz w:val="26"/>
          <w:szCs w:val="26"/>
        </w:rPr>
        <w:t>George Spracklin</w:t>
      </w:r>
      <w:r>
        <w:rPr>
          <w:sz w:val="26"/>
          <w:szCs w:val="26"/>
          <w:vertAlign w:val="superscript"/>
        </w:rPr>
        <w:t>1</w:t>
      </w:r>
      <w:r>
        <w:rPr>
          <w:sz w:val="26"/>
          <w:szCs w:val="26"/>
        </w:rPr>
        <w:t xml:space="preserve">, </w:t>
      </w:r>
      <w:proofErr w:type="spellStart"/>
      <w:r>
        <w:rPr>
          <w:sz w:val="26"/>
          <w:szCs w:val="26"/>
        </w:rPr>
        <w:t>Liyan</w:t>
      </w:r>
      <w:proofErr w:type="spellEnd"/>
      <w:r>
        <w:rPr>
          <w:sz w:val="26"/>
          <w:szCs w:val="26"/>
        </w:rPr>
        <w:t xml:space="preserve"> Yang</w:t>
      </w:r>
      <w:r>
        <w:rPr>
          <w:sz w:val="26"/>
          <w:szCs w:val="26"/>
          <w:vertAlign w:val="superscript"/>
        </w:rPr>
        <w:t>1</w:t>
      </w:r>
      <w:r>
        <w:rPr>
          <w:sz w:val="26"/>
          <w:szCs w:val="26"/>
        </w:rPr>
        <w:t xml:space="preserve">, </w:t>
      </w:r>
      <w:proofErr w:type="spellStart"/>
      <w:r>
        <w:rPr>
          <w:sz w:val="26"/>
          <w:szCs w:val="26"/>
        </w:rPr>
        <w:t>Sriharsa</w:t>
      </w:r>
      <w:proofErr w:type="spellEnd"/>
      <w:r>
        <w:rPr>
          <w:sz w:val="26"/>
          <w:szCs w:val="26"/>
        </w:rPr>
        <w:t xml:space="preserve"> Pradhan</w:t>
      </w:r>
      <w:r>
        <w:rPr>
          <w:sz w:val="26"/>
          <w:szCs w:val="26"/>
          <w:vertAlign w:val="superscript"/>
        </w:rPr>
        <w:t>2</w:t>
      </w:r>
      <w:r>
        <w:rPr>
          <w:sz w:val="26"/>
          <w:szCs w:val="26"/>
        </w:rPr>
        <w:t>, and Job Dekker</w:t>
      </w:r>
      <w:r>
        <w:rPr>
          <w:sz w:val="26"/>
          <w:szCs w:val="26"/>
          <w:vertAlign w:val="superscript"/>
        </w:rPr>
        <w:t>1,3</w:t>
      </w:r>
    </w:p>
    <w:p w14:paraId="00000005" w14:textId="77777777" w:rsidR="000F1BDE" w:rsidRDefault="000F1BDE">
      <w:pPr>
        <w:rPr>
          <w:color w:val="434343"/>
          <w:vertAlign w:val="superscript"/>
        </w:rPr>
      </w:pPr>
    </w:p>
    <w:p w14:paraId="00000006" w14:textId="77777777" w:rsidR="000F1BDE" w:rsidRDefault="003B060E">
      <w:r>
        <w:rPr>
          <w:color w:val="434343"/>
          <w:vertAlign w:val="superscript"/>
        </w:rPr>
        <w:t>1</w:t>
      </w:r>
      <w:r>
        <w:rPr>
          <w:rFonts w:ascii="Calibri" w:eastAsia="Calibri" w:hAnsi="Calibri" w:cs="Calibri"/>
          <w:color w:val="434343"/>
        </w:rPr>
        <w:t>Program</w:t>
      </w:r>
      <w:r>
        <w:rPr>
          <w:rFonts w:ascii="Calibri" w:eastAsia="Calibri" w:hAnsi="Calibri" w:cs="Calibri"/>
          <w:color w:val="434343"/>
        </w:rPr>
        <w:t xml:space="preserve"> in Systems Biology, University of Massachusetts Medical School, Worcester, MA, USA; </w:t>
      </w:r>
      <w:r>
        <w:rPr>
          <w:rFonts w:ascii="Calibri" w:eastAsia="Calibri" w:hAnsi="Calibri" w:cs="Calibri"/>
          <w:color w:val="434343"/>
          <w:vertAlign w:val="superscript"/>
        </w:rPr>
        <w:t>2</w:t>
      </w:r>
      <w:r>
        <w:rPr>
          <w:rFonts w:ascii="Calibri" w:eastAsia="Calibri" w:hAnsi="Calibri" w:cs="Calibri"/>
          <w:color w:val="434343"/>
        </w:rPr>
        <w:t>New England Biolabs, Ipswich, MA, USA;</w:t>
      </w:r>
      <w:r>
        <w:rPr>
          <w:rFonts w:ascii="Calibri" w:eastAsia="Calibri" w:hAnsi="Calibri" w:cs="Calibri"/>
          <w:color w:val="434343"/>
          <w:vertAlign w:val="superscript"/>
        </w:rPr>
        <w:t xml:space="preserve"> 3</w:t>
      </w:r>
      <w:r>
        <w:rPr>
          <w:rFonts w:ascii="Calibri" w:eastAsia="Calibri" w:hAnsi="Calibri" w:cs="Calibri"/>
          <w:color w:val="434343"/>
        </w:rPr>
        <w:t>Howard Hughes Medical Institu</w:t>
      </w:r>
      <w:r>
        <w:rPr>
          <w:rFonts w:ascii="Calibri" w:eastAsia="Calibri" w:hAnsi="Calibri" w:cs="Calibri"/>
        </w:rPr>
        <w:t>te</w:t>
      </w:r>
    </w:p>
    <w:p w14:paraId="00000007" w14:textId="77777777" w:rsidR="000F1BDE" w:rsidRDefault="003B060E">
      <w:pPr>
        <w:pStyle w:val="Heading2"/>
      </w:pPr>
      <w:bookmarkStart w:id="2" w:name="_y09ymoi0q99u" w:colFirst="0" w:colLast="0"/>
      <w:bookmarkEnd w:id="2"/>
      <w:r>
        <w:t>ii</w:t>
      </w:r>
      <w:r>
        <w:tab/>
        <w:t>Abstract</w:t>
      </w:r>
    </w:p>
    <w:p w14:paraId="00000008" w14:textId="77777777" w:rsidR="000F1BDE" w:rsidRDefault="003B060E">
      <w:r>
        <w:t>Chromatin accessibility has been an immensely powerful metric for identifying and unde</w:t>
      </w:r>
      <w:r>
        <w:t>rstanding regulatory elements in the genome. Many important regulatory elements, such as enhancers and transcriptional start sites, are characterized by ‘open’ or nucleosome-free regions. Understanding the areas of the genome that are not considered open c</w:t>
      </w:r>
      <w:r>
        <w:t>hromatin has been more difficult. Protect-seq is a genomics technique that aims to identify inaccessible chromatin associated with the nuclear periphery. These regions are enriched for histone modifications associated with transcriptional repression and co</w:t>
      </w:r>
      <w:r>
        <w:t xml:space="preserve">rrelate with loci identified by other techniques measuring heterochromatin and peripheral localization. Here, we discuss the protocol and best practices to perform Protect-seq. </w:t>
      </w:r>
    </w:p>
    <w:p w14:paraId="00000009" w14:textId="77777777" w:rsidR="000F1BDE" w:rsidRDefault="003B060E">
      <w:pPr>
        <w:pStyle w:val="Heading2"/>
      </w:pPr>
      <w:bookmarkStart w:id="3" w:name="_iryarydluune" w:colFirst="0" w:colLast="0"/>
      <w:bookmarkEnd w:id="3"/>
      <w:r>
        <w:t>iii</w:t>
      </w:r>
      <w:r>
        <w:tab/>
        <w:t>Keywords</w:t>
      </w:r>
    </w:p>
    <w:p w14:paraId="0000000A" w14:textId="77777777" w:rsidR="000F1BDE" w:rsidRDefault="003B060E">
      <w:r>
        <w:t>Protect-seq, chromatin, heterochromatin, nuclear periphery, genom</w:t>
      </w:r>
      <w:r>
        <w:t>ics</w:t>
      </w:r>
    </w:p>
    <w:p w14:paraId="0000000B" w14:textId="77777777" w:rsidR="000F1BDE" w:rsidRDefault="000F1BDE"/>
    <w:p w14:paraId="0000000C" w14:textId="77777777" w:rsidR="000F1BDE" w:rsidRDefault="003B060E">
      <w:pPr>
        <w:pStyle w:val="Heading2"/>
      </w:pPr>
      <w:bookmarkStart w:id="4" w:name="_fjbskxjqwh14" w:colFirst="0" w:colLast="0"/>
      <w:bookmarkEnd w:id="4"/>
      <w:r>
        <w:t>1</w:t>
      </w:r>
      <w:r>
        <w:tab/>
        <w:t>Introduction</w:t>
      </w:r>
    </w:p>
    <w:p w14:paraId="0000000D" w14:textId="3DD92B24" w:rsidR="000F1BDE" w:rsidRDefault="003B060E">
      <w:r>
        <w:t xml:space="preserve">Mammalian genomes are highly organized inside the nucleus. Accessible chromatin regions are often nucleosome-free (‘open chromatin’) and have a strong correlation with regulatory elements such as active promoters and enhancers </w:t>
      </w:r>
      <w:hyperlink r:id="rId7">
        <w:r>
          <w:rPr>
            <w:color w:val="000000"/>
          </w:rPr>
          <w:t>[1]</w:t>
        </w:r>
      </w:hyperlink>
      <w:r>
        <w:t>. Almost all genomics techniques which probe chromatin structure rely on enzyme accessibility. Conversely, very few genomics techniques are designed to measure the inaccessible and/or heterochromatic regions</w:t>
      </w:r>
      <w:r>
        <w:t xml:space="preserve"> of the genome </w:t>
      </w:r>
      <w:hyperlink r:id="rId8">
        <w:r>
          <w:rPr>
            <w:color w:val="000000"/>
          </w:rPr>
          <w:t>[2–5]</w:t>
        </w:r>
      </w:hyperlink>
      <w:r>
        <w:t xml:space="preserve"> and some that do require complex genome editing </w:t>
      </w:r>
      <w:hyperlink r:id="rId9">
        <w:r>
          <w:rPr>
            <w:color w:val="000000"/>
          </w:rPr>
          <w:t>[6]</w:t>
        </w:r>
      </w:hyperlink>
      <w:r>
        <w:t xml:space="preserve">. </w:t>
      </w:r>
      <w:r w:rsidR="0018077A">
        <w:t>Thus,</w:t>
      </w:r>
      <w:r>
        <w:t xml:space="preserve"> there is a need for more genomics techniques to prob</w:t>
      </w:r>
      <w:r>
        <w:t xml:space="preserve">e specific genome structures, especially the inactive genome.  </w:t>
      </w:r>
    </w:p>
    <w:p w14:paraId="0000000E" w14:textId="77777777" w:rsidR="000F1BDE" w:rsidRDefault="000F1BDE"/>
    <w:p w14:paraId="0000000F" w14:textId="77777777" w:rsidR="000F1BDE" w:rsidRDefault="003B060E">
      <w:r>
        <w:t xml:space="preserve">Protect-seq aims to measure the inaccessible chromatin by degrading accessible chromatin with saturating levels of nucleases for excessive time periods (Figure 1A) </w:t>
      </w:r>
      <w:hyperlink r:id="rId10">
        <w:r>
          <w:rPr>
            <w:color w:val="000000"/>
          </w:rPr>
          <w:t>[4]</w:t>
        </w:r>
      </w:hyperlink>
      <w:r>
        <w:t xml:space="preserve">. Techniques to measure open chromatin, such as </w:t>
      </w:r>
      <w:proofErr w:type="spellStart"/>
      <w:r>
        <w:t>MNase</w:t>
      </w:r>
      <w:proofErr w:type="spellEnd"/>
      <w:r>
        <w:t xml:space="preserve">-seq </w:t>
      </w:r>
      <w:hyperlink r:id="rId11">
        <w:r>
          <w:rPr>
            <w:color w:val="000000"/>
          </w:rPr>
          <w:t>[7]</w:t>
        </w:r>
      </w:hyperlink>
      <w:r>
        <w:t xml:space="preserve">, DNase-seq </w:t>
      </w:r>
      <w:hyperlink r:id="rId12">
        <w:r>
          <w:rPr>
            <w:color w:val="000000"/>
          </w:rPr>
          <w:t>[8]</w:t>
        </w:r>
      </w:hyperlink>
      <w:r>
        <w:t xml:space="preserve">, ATAC-seq </w:t>
      </w:r>
      <w:hyperlink r:id="rId13">
        <w:r>
          <w:rPr>
            <w:color w:val="000000"/>
          </w:rPr>
          <w:t>[9]</w:t>
        </w:r>
      </w:hyperlink>
      <w:r>
        <w:t xml:space="preserve">, digest the </w:t>
      </w:r>
      <w:r>
        <w:lastRenderedPageBreak/>
        <w:t>genome for short periods of time (&lt;15 mins). In contrast, Protect-seq uses a higher concentration of enzyme, and a lon</w:t>
      </w:r>
      <w:r>
        <w:t xml:space="preserve">ger digestion time (&gt;60 min). After allowing nucleases to </w:t>
      </w:r>
      <w:proofErr w:type="spellStart"/>
      <w:r>
        <w:t>overdigest</w:t>
      </w:r>
      <w:proofErr w:type="spellEnd"/>
      <w:r>
        <w:t xml:space="preserve"> nuclei in HCT116, the remaining DNA is enriched at the nuclear periphery in DAPI dense foci (Figure 1B). Importantly, the nuclei are still intact at this stage, making Protect-seq amenabl</w:t>
      </w:r>
      <w:r>
        <w:t>e to single-cell sequencing. Interestingly, in HCT116 cells, Protect-seq identifies two types of domains: strong and weak domains, which correspond to H3K9me3-HP1 and H3K27me3 chromatin domains, respectively. Taken together, Protect-seq is a simple, reliab</w:t>
      </w:r>
      <w:r>
        <w:t>le, and robust technique to identify chromatin that is either resistant to nuclease and/or tethered to a nuclear body and is thus insoluble.</w:t>
      </w:r>
    </w:p>
    <w:p w14:paraId="00000010" w14:textId="77777777" w:rsidR="000F1BDE" w:rsidRDefault="000F1BDE"/>
    <w:p w14:paraId="00000011" w14:textId="77777777" w:rsidR="000F1BDE" w:rsidRDefault="003B060E">
      <w:r>
        <w:t>In this chapter, we describe a simplified Protect-seq protocol and the necessary experimental considerations and q</w:t>
      </w:r>
      <w:r>
        <w:t xml:space="preserve">uality controls measures. </w:t>
      </w:r>
    </w:p>
    <w:p w14:paraId="00000012" w14:textId="77777777" w:rsidR="000F1BDE" w:rsidRDefault="003B060E">
      <w:pPr>
        <w:pStyle w:val="Heading2"/>
      </w:pPr>
      <w:bookmarkStart w:id="5" w:name="_sroeemvbyf94" w:colFirst="0" w:colLast="0"/>
      <w:bookmarkEnd w:id="5"/>
      <w:r>
        <w:t>2</w:t>
      </w:r>
      <w:r>
        <w:tab/>
        <w:t>Materials</w:t>
      </w:r>
    </w:p>
    <w:p w14:paraId="00000013" w14:textId="77777777" w:rsidR="000F1BDE" w:rsidRDefault="003B060E">
      <w:r>
        <w:t>Protect-seq uses standard laboratory reagents. Lysis buffer can be prepared ahead of time and stored at 4°C. The original published protocol did not perform the nuclease digestion in the lysis buffer. The detergent in</w:t>
      </w:r>
      <w:r>
        <w:t xml:space="preserve"> the lysis buffer is helpful at preventing cell clumping and does not interfere with enzyme activity (see Note 1). </w:t>
      </w:r>
    </w:p>
    <w:p w14:paraId="00000014" w14:textId="77777777" w:rsidR="000F1BDE" w:rsidRDefault="003B060E">
      <w:pPr>
        <w:pStyle w:val="Heading3"/>
      </w:pPr>
      <w:bookmarkStart w:id="6" w:name="_pk070ncjm3yu" w:colFirst="0" w:colLast="0"/>
      <w:bookmarkEnd w:id="6"/>
      <w:r>
        <w:t>2.1</w:t>
      </w:r>
      <w:r>
        <w:tab/>
        <w:t>Buffers and Reagents</w:t>
      </w:r>
    </w:p>
    <w:p w14:paraId="00000015" w14:textId="77777777" w:rsidR="000F1BDE" w:rsidRDefault="003B060E">
      <w:pPr>
        <w:numPr>
          <w:ilvl w:val="0"/>
          <w:numId w:val="1"/>
        </w:numPr>
      </w:pPr>
      <w:r>
        <w:t>37% Formaldehyde (Fisher cat# BP531-25)</w:t>
      </w:r>
    </w:p>
    <w:p w14:paraId="00000016" w14:textId="77777777" w:rsidR="000F1BDE" w:rsidRDefault="003B060E">
      <w:pPr>
        <w:numPr>
          <w:ilvl w:val="0"/>
          <w:numId w:val="1"/>
        </w:numPr>
      </w:pPr>
      <w:r>
        <w:t>Glycine (2.5M stock) (Sigma cat# G8898-1KG)</w:t>
      </w:r>
    </w:p>
    <w:p w14:paraId="00000017" w14:textId="77777777" w:rsidR="000F1BDE" w:rsidRDefault="003B060E">
      <w:pPr>
        <w:numPr>
          <w:ilvl w:val="0"/>
          <w:numId w:val="1"/>
        </w:numPr>
      </w:pPr>
      <w:r>
        <w:t>IGEPAL CA-630 detergent (MP, Ca</w:t>
      </w:r>
      <w:r>
        <w:t>t# 198596)</w:t>
      </w:r>
    </w:p>
    <w:p w14:paraId="00000018" w14:textId="77777777" w:rsidR="000F1BDE" w:rsidRDefault="003B060E">
      <w:pPr>
        <w:numPr>
          <w:ilvl w:val="0"/>
          <w:numId w:val="1"/>
        </w:numPr>
      </w:pPr>
      <w:r>
        <w:t>Lysis Buffer</w:t>
      </w:r>
    </w:p>
    <w:p w14:paraId="00000019" w14:textId="77777777" w:rsidR="000F1BDE" w:rsidRDefault="003B060E">
      <w:pPr>
        <w:ind w:left="1440"/>
      </w:pPr>
      <w:r>
        <w:t>10mM</w:t>
      </w:r>
      <w:r>
        <w:tab/>
        <w:t>Tris-HCl pH 8.0</w:t>
      </w:r>
    </w:p>
    <w:p w14:paraId="0000001A" w14:textId="77777777" w:rsidR="000F1BDE" w:rsidRDefault="003B060E">
      <w:pPr>
        <w:ind w:left="1440"/>
      </w:pPr>
      <w:r>
        <w:t>10mM</w:t>
      </w:r>
      <w:r>
        <w:tab/>
        <w:t>NaCl</w:t>
      </w:r>
    </w:p>
    <w:p w14:paraId="0000001B" w14:textId="77777777" w:rsidR="000F1BDE" w:rsidRDefault="003B060E">
      <w:pPr>
        <w:ind w:left="1440"/>
      </w:pPr>
      <w:r>
        <w:t>0.2%</w:t>
      </w:r>
      <w:r>
        <w:tab/>
      </w:r>
      <w:proofErr w:type="spellStart"/>
      <w:r>
        <w:t>Igepal</w:t>
      </w:r>
      <w:proofErr w:type="spellEnd"/>
      <w:r>
        <w:t xml:space="preserve"> CA-630 (NP40)</w:t>
      </w:r>
    </w:p>
    <w:p w14:paraId="0000001C" w14:textId="77777777" w:rsidR="000F1BDE" w:rsidRDefault="003B060E">
      <w:pPr>
        <w:numPr>
          <w:ilvl w:val="0"/>
          <w:numId w:val="1"/>
        </w:numPr>
      </w:pPr>
      <w:r>
        <w:t>Stop Buffer</w:t>
      </w:r>
    </w:p>
    <w:p w14:paraId="0000001D" w14:textId="77777777" w:rsidR="000F1BDE" w:rsidRDefault="003B060E">
      <w:pPr>
        <w:ind w:left="1440"/>
      </w:pPr>
      <w:r>
        <w:t>1X</w:t>
      </w:r>
      <w:r>
        <w:tab/>
        <w:t>NEB2 (NEB#B7002S)</w:t>
      </w:r>
    </w:p>
    <w:p w14:paraId="0000001E" w14:textId="77777777" w:rsidR="000F1BDE" w:rsidRDefault="003B060E">
      <w:pPr>
        <w:ind w:left="1440"/>
      </w:pPr>
      <w:r>
        <w:t>5mM</w:t>
      </w:r>
      <w:r>
        <w:tab/>
        <w:t>EDTA</w:t>
      </w:r>
    </w:p>
    <w:p w14:paraId="0000001F" w14:textId="77777777" w:rsidR="000F1BDE" w:rsidRDefault="003B060E">
      <w:pPr>
        <w:ind w:left="1440"/>
      </w:pPr>
      <w:r>
        <w:t>5mM</w:t>
      </w:r>
      <w:r>
        <w:tab/>
        <w:t>EGTA</w:t>
      </w:r>
    </w:p>
    <w:p w14:paraId="00000020" w14:textId="77777777" w:rsidR="000F1BDE" w:rsidRDefault="003B060E">
      <w:pPr>
        <w:numPr>
          <w:ilvl w:val="0"/>
          <w:numId w:val="1"/>
        </w:numPr>
      </w:pPr>
      <w:proofErr w:type="spellStart"/>
      <w:r>
        <w:t>DNaseI</w:t>
      </w:r>
      <w:proofErr w:type="spellEnd"/>
      <w:r>
        <w:t xml:space="preserve"> (NEB Cat#M0303)</w:t>
      </w:r>
    </w:p>
    <w:p w14:paraId="00000021" w14:textId="77777777" w:rsidR="000F1BDE" w:rsidRDefault="003B060E">
      <w:pPr>
        <w:numPr>
          <w:ilvl w:val="0"/>
          <w:numId w:val="1"/>
        </w:numPr>
      </w:pPr>
      <w:r>
        <w:t>Micrococcal Nuclease (NEB Cat#M0247S)</w:t>
      </w:r>
    </w:p>
    <w:p w14:paraId="00000022" w14:textId="77777777" w:rsidR="000F1BDE" w:rsidRDefault="003B060E">
      <w:pPr>
        <w:numPr>
          <w:ilvl w:val="0"/>
          <w:numId w:val="1"/>
        </w:numPr>
      </w:pPr>
      <w:proofErr w:type="spellStart"/>
      <w:r>
        <w:t>RNaseA</w:t>
      </w:r>
      <w:proofErr w:type="spellEnd"/>
      <w:r>
        <w:t xml:space="preserve"> 20mg/ml (Invitrogen Cat#12091021)</w:t>
      </w:r>
    </w:p>
    <w:p w14:paraId="00000023" w14:textId="77777777" w:rsidR="000F1BDE" w:rsidRDefault="003B060E">
      <w:pPr>
        <w:numPr>
          <w:ilvl w:val="0"/>
          <w:numId w:val="1"/>
        </w:numPr>
      </w:pPr>
      <w:r>
        <w:t>Low TE</w:t>
      </w:r>
    </w:p>
    <w:p w14:paraId="00000024" w14:textId="77777777" w:rsidR="000F1BDE" w:rsidRDefault="003B060E">
      <w:pPr>
        <w:ind w:left="1440"/>
      </w:pPr>
      <w:r>
        <w:t>10mM</w:t>
      </w:r>
      <w:r>
        <w:tab/>
        <w:t>Tris-HCl pH 8.0</w:t>
      </w:r>
    </w:p>
    <w:p w14:paraId="00000025" w14:textId="77777777" w:rsidR="000F1BDE" w:rsidRDefault="003B060E">
      <w:pPr>
        <w:ind w:left="1440"/>
      </w:pPr>
      <w:r>
        <w:t>0.1mM</w:t>
      </w:r>
      <w:r>
        <w:tab/>
        <w:t>EDTA</w:t>
      </w:r>
    </w:p>
    <w:p w14:paraId="00000026" w14:textId="77777777" w:rsidR="000F1BDE" w:rsidRDefault="003B060E">
      <w:pPr>
        <w:pStyle w:val="Heading3"/>
      </w:pPr>
      <w:bookmarkStart w:id="7" w:name="_nz72kskl3usu" w:colFirst="0" w:colLast="0"/>
      <w:bookmarkEnd w:id="7"/>
      <w:r>
        <w:t>2.2</w:t>
      </w:r>
      <w:r>
        <w:tab/>
        <w:t>DNA purification, library building, and quality control</w:t>
      </w:r>
    </w:p>
    <w:p w14:paraId="00000027" w14:textId="77777777" w:rsidR="000F1BDE" w:rsidRDefault="003B060E">
      <w:pPr>
        <w:numPr>
          <w:ilvl w:val="0"/>
          <w:numId w:val="3"/>
        </w:numPr>
      </w:pPr>
      <w:r>
        <w:t>200µl PCR tube</w:t>
      </w:r>
    </w:p>
    <w:p w14:paraId="00000028" w14:textId="77777777" w:rsidR="000F1BDE" w:rsidRDefault="003B060E">
      <w:pPr>
        <w:numPr>
          <w:ilvl w:val="0"/>
          <w:numId w:val="3"/>
        </w:numPr>
      </w:pPr>
      <w:r>
        <w:t>96-well qPCR plate and seal</w:t>
      </w:r>
    </w:p>
    <w:p w14:paraId="00000029" w14:textId="77777777" w:rsidR="000F1BDE" w:rsidRDefault="003B060E">
      <w:pPr>
        <w:numPr>
          <w:ilvl w:val="0"/>
          <w:numId w:val="3"/>
        </w:numPr>
      </w:pPr>
      <w:r>
        <w:t xml:space="preserve">NEB Monarch DNA cleanup kit (NEB T1030) </w:t>
      </w:r>
    </w:p>
    <w:p w14:paraId="0000002A" w14:textId="77777777" w:rsidR="000F1BDE" w:rsidRDefault="003B060E">
      <w:pPr>
        <w:numPr>
          <w:ilvl w:val="0"/>
          <w:numId w:val="3"/>
        </w:numPr>
      </w:pPr>
      <w:proofErr w:type="spellStart"/>
      <w:r>
        <w:lastRenderedPageBreak/>
        <w:t>NEBNext</w:t>
      </w:r>
      <w:proofErr w:type="spellEnd"/>
      <w:r>
        <w:t xml:space="preserve"> </w:t>
      </w:r>
      <w:proofErr w:type="spellStart"/>
      <w:r>
        <w:t>UltraII</w:t>
      </w:r>
      <w:proofErr w:type="spellEnd"/>
      <w:r>
        <w:t xml:space="preserve"> DNA library prep</w:t>
      </w:r>
      <w:r>
        <w:t xml:space="preserve"> kit for Illumina (NEB Cat#E7645)</w:t>
      </w:r>
    </w:p>
    <w:p w14:paraId="0000002B" w14:textId="77777777" w:rsidR="000F1BDE" w:rsidRDefault="003B060E">
      <w:pPr>
        <w:numPr>
          <w:ilvl w:val="0"/>
          <w:numId w:val="3"/>
        </w:numPr>
      </w:pPr>
      <w:proofErr w:type="spellStart"/>
      <w:r>
        <w:t>NEBNext</w:t>
      </w:r>
      <w:proofErr w:type="spellEnd"/>
      <w:r>
        <w:t xml:space="preserve"> Library Quant Kit for Illumina (NEB Cat#E7630)</w:t>
      </w:r>
    </w:p>
    <w:p w14:paraId="0000002C" w14:textId="77777777" w:rsidR="000F1BDE" w:rsidRDefault="003B060E">
      <w:pPr>
        <w:numPr>
          <w:ilvl w:val="0"/>
          <w:numId w:val="3"/>
        </w:numPr>
      </w:pPr>
      <w:proofErr w:type="spellStart"/>
      <w:r>
        <w:t>AMPure</w:t>
      </w:r>
      <w:proofErr w:type="spellEnd"/>
      <w:r>
        <w:t xml:space="preserve"> XP beads (Beckman Cat#A63881)</w:t>
      </w:r>
    </w:p>
    <w:p w14:paraId="0000002D" w14:textId="77777777" w:rsidR="000F1BDE" w:rsidRDefault="003B060E">
      <w:pPr>
        <w:numPr>
          <w:ilvl w:val="0"/>
          <w:numId w:val="3"/>
        </w:numPr>
      </w:pPr>
      <w:r>
        <w:t>Qubit 4 Fluorometer (Ref#Q33226) or equivalent</w:t>
      </w:r>
    </w:p>
    <w:p w14:paraId="0000002E" w14:textId="77777777" w:rsidR="000F1BDE" w:rsidRDefault="003B060E">
      <w:pPr>
        <w:numPr>
          <w:ilvl w:val="0"/>
          <w:numId w:val="3"/>
        </w:numPr>
      </w:pPr>
      <w:r>
        <w:t>Qubit assay tubes (Ref#Q32856)</w:t>
      </w:r>
    </w:p>
    <w:p w14:paraId="0000002F" w14:textId="77777777" w:rsidR="000F1BDE" w:rsidRDefault="003B060E">
      <w:pPr>
        <w:numPr>
          <w:ilvl w:val="0"/>
          <w:numId w:val="3"/>
        </w:numPr>
      </w:pPr>
      <w:r>
        <w:t>Qubit dsDNA High-Sensitivity Assay Kit (Ref#Q32854)</w:t>
      </w:r>
    </w:p>
    <w:p w14:paraId="00000030" w14:textId="77777777" w:rsidR="000F1BDE" w:rsidRDefault="003B060E">
      <w:pPr>
        <w:numPr>
          <w:ilvl w:val="0"/>
          <w:numId w:val="3"/>
        </w:numPr>
      </w:pPr>
      <w:r>
        <w:t xml:space="preserve">qPCR machine (Thermo </w:t>
      </w:r>
      <w:proofErr w:type="spellStart"/>
      <w:r>
        <w:t>StepOne</w:t>
      </w:r>
      <w:proofErr w:type="spellEnd"/>
      <w:r>
        <w:t xml:space="preserve">, </w:t>
      </w:r>
      <w:proofErr w:type="spellStart"/>
      <w:r>
        <w:t>BioRad</w:t>
      </w:r>
      <w:proofErr w:type="spellEnd"/>
      <w:r>
        <w:t xml:space="preserve"> CFX or equivalent)</w:t>
      </w:r>
    </w:p>
    <w:p w14:paraId="00000031" w14:textId="77777777" w:rsidR="000F1BDE" w:rsidRDefault="003B060E">
      <w:pPr>
        <w:pStyle w:val="Heading3"/>
      </w:pPr>
      <w:bookmarkStart w:id="8" w:name="_ma6qn94jjpkn" w:colFirst="0" w:colLast="0"/>
      <w:bookmarkEnd w:id="8"/>
      <w:r>
        <w:t>2.3</w:t>
      </w:r>
      <w:r>
        <w:tab/>
        <w:t>Microscopy</w:t>
      </w:r>
    </w:p>
    <w:p w14:paraId="00000032" w14:textId="77777777" w:rsidR="000F1BDE" w:rsidRDefault="003B060E">
      <w:r>
        <w:t xml:space="preserve">DAPI staining is a useful control to determine the localization of the remaining (or protected) chromatin (optional). </w:t>
      </w:r>
    </w:p>
    <w:p w14:paraId="00000033" w14:textId="77777777" w:rsidR="000F1BDE" w:rsidRDefault="003B060E">
      <w:pPr>
        <w:numPr>
          <w:ilvl w:val="0"/>
          <w:numId w:val="7"/>
        </w:numPr>
      </w:pPr>
      <w:proofErr w:type="spellStart"/>
      <w:r>
        <w:t>ProLong</w:t>
      </w:r>
      <w:proofErr w:type="spellEnd"/>
      <w:r>
        <w:t xml:space="preserve"> Gold antifade reagent with DAPI (Ref# P36931)</w:t>
      </w:r>
    </w:p>
    <w:p w14:paraId="00000034" w14:textId="77777777" w:rsidR="000F1BDE" w:rsidRDefault="003B060E">
      <w:pPr>
        <w:numPr>
          <w:ilvl w:val="0"/>
          <w:numId w:val="7"/>
        </w:numPr>
      </w:pPr>
      <w:r>
        <w:t>Microscope (</w:t>
      </w:r>
      <w:r>
        <w:t xml:space="preserve">equipped with the DAPI excitation and emissions filters) </w:t>
      </w:r>
    </w:p>
    <w:p w14:paraId="00000035" w14:textId="77777777" w:rsidR="000F1BDE" w:rsidRDefault="003B060E">
      <w:pPr>
        <w:pStyle w:val="Heading3"/>
      </w:pPr>
      <w:bookmarkStart w:id="9" w:name="_ueeqf6iffe8" w:colFirst="0" w:colLast="0"/>
      <w:bookmarkEnd w:id="9"/>
      <w:r>
        <w:t>2.4</w:t>
      </w:r>
      <w:r>
        <w:tab/>
        <w:t>General Material and Equipment</w:t>
      </w:r>
    </w:p>
    <w:p w14:paraId="00000036" w14:textId="77777777" w:rsidR="000F1BDE" w:rsidRDefault="003B060E">
      <w:pPr>
        <w:numPr>
          <w:ilvl w:val="0"/>
          <w:numId w:val="6"/>
        </w:numPr>
      </w:pPr>
      <w:r>
        <w:t xml:space="preserve">Eppendorf DNA </w:t>
      </w:r>
      <w:proofErr w:type="spellStart"/>
      <w:r>
        <w:t>LoBind</w:t>
      </w:r>
      <w:proofErr w:type="spellEnd"/>
      <w:r>
        <w:t xml:space="preserve"> tube 1.5ml, (Cat# 022431021)</w:t>
      </w:r>
    </w:p>
    <w:p w14:paraId="00000037" w14:textId="77777777" w:rsidR="000F1BDE" w:rsidRDefault="003B060E">
      <w:pPr>
        <w:numPr>
          <w:ilvl w:val="0"/>
          <w:numId w:val="6"/>
        </w:numPr>
      </w:pPr>
      <w:r>
        <w:t>Tabletop centrifuge</w:t>
      </w:r>
    </w:p>
    <w:p w14:paraId="00000038" w14:textId="77777777" w:rsidR="000F1BDE" w:rsidRDefault="003B060E">
      <w:pPr>
        <w:numPr>
          <w:ilvl w:val="0"/>
          <w:numId w:val="6"/>
        </w:numPr>
      </w:pPr>
      <w:r>
        <w:t>Thermal cycler</w:t>
      </w:r>
    </w:p>
    <w:p w14:paraId="00000039" w14:textId="77777777" w:rsidR="000F1BDE" w:rsidRDefault="003B060E">
      <w:pPr>
        <w:numPr>
          <w:ilvl w:val="0"/>
          <w:numId w:val="6"/>
        </w:numPr>
      </w:pPr>
      <w:r>
        <w:t>Thermomixer</w:t>
      </w:r>
    </w:p>
    <w:p w14:paraId="0000003A" w14:textId="77777777" w:rsidR="000F1BDE" w:rsidRDefault="003B060E">
      <w:pPr>
        <w:numPr>
          <w:ilvl w:val="0"/>
          <w:numId w:val="6"/>
        </w:numPr>
      </w:pPr>
      <w:r>
        <w:t>Nuclease-free water</w:t>
      </w:r>
    </w:p>
    <w:p w14:paraId="0000003B" w14:textId="77777777" w:rsidR="000F1BDE" w:rsidRDefault="003B060E">
      <w:pPr>
        <w:pStyle w:val="Heading2"/>
      </w:pPr>
      <w:bookmarkStart w:id="10" w:name="_rwsf6rrys5oy" w:colFirst="0" w:colLast="0"/>
      <w:bookmarkEnd w:id="10"/>
      <w:r>
        <w:t xml:space="preserve">3 </w:t>
      </w:r>
      <w:r>
        <w:tab/>
        <w:t>Methods</w:t>
      </w:r>
    </w:p>
    <w:p w14:paraId="0000003C" w14:textId="77777777" w:rsidR="000F1BDE" w:rsidRDefault="003B060E">
      <w:r>
        <w:t xml:space="preserve">Protect-seq is robust and reliable in HCT116 cells which can be used as a positive control (see Note 2). The original published protocol performed two rounds of nuclease digestion with a wash step in between in NEB#2 </w:t>
      </w:r>
      <w:hyperlink r:id="rId14">
        <w:r>
          <w:rPr>
            <w:color w:val="000000"/>
          </w:rPr>
          <w:t>[4]</w:t>
        </w:r>
      </w:hyperlink>
      <w:r>
        <w:t>. In this streamlined protocol version, we perform one round of nuclease digestion carried out in Lysis Buffer with the addition of MgCl</w:t>
      </w:r>
      <w:r>
        <w:rPr>
          <w:vertAlign w:val="subscript"/>
        </w:rPr>
        <w:t>2</w:t>
      </w:r>
      <w:r>
        <w:t xml:space="preserve"> and CaCl</w:t>
      </w:r>
      <w:r>
        <w:rPr>
          <w:vertAlign w:val="subscript"/>
        </w:rPr>
        <w:t>2</w:t>
      </w:r>
      <w:r>
        <w:t>. In HCT116 cells, the two protocols yield nearly identical results. Carry out all procedu</w:t>
      </w:r>
      <w:r>
        <w:t xml:space="preserve">res at room temperature unless otherwise specified. </w:t>
      </w:r>
    </w:p>
    <w:p w14:paraId="0000003D" w14:textId="77777777" w:rsidR="000F1BDE" w:rsidRDefault="003B060E">
      <w:pPr>
        <w:pStyle w:val="Heading3"/>
      </w:pPr>
      <w:bookmarkStart w:id="11" w:name="_t2iuq1l9vdzm" w:colFirst="0" w:colLast="0"/>
      <w:bookmarkEnd w:id="11"/>
      <w:r>
        <w:t>3.1</w:t>
      </w:r>
      <w:r>
        <w:tab/>
        <w:t xml:space="preserve">Cell Culture and Crosslinking </w:t>
      </w:r>
    </w:p>
    <w:p w14:paraId="0000003E" w14:textId="77777777" w:rsidR="000F1BDE" w:rsidRDefault="003B060E">
      <w:pPr>
        <w:numPr>
          <w:ilvl w:val="0"/>
          <w:numId w:val="8"/>
        </w:numPr>
      </w:pPr>
      <w:r>
        <w:t xml:space="preserve">HCT116 cells were cultured in McCoy5A media supplemented with 10% fetal bovine serum (FBS) at 37°C and 5% CO2. Once cells reach 75% confluency, </w:t>
      </w:r>
      <w:proofErr w:type="spellStart"/>
      <w:r>
        <w:t>trypsinize</w:t>
      </w:r>
      <w:proofErr w:type="spellEnd"/>
      <w:r>
        <w:t xml:space="preserve"> and wash twic</w:t>
      </w:r>
      <w:r>
        <w:t>e with 1X Phosphate Buffered Saline (PBS) and stored at -80C. Note: these conditions will vary depending on the cell type.</w:t>
      </w:r>
    </w:p>
    <w:p w14:paraId="0000003F" w14:textId="77777777" w:rsidR="000F1BDE" w:rsidRDefault="003B060E">
      <w:pPr>
        <w:numPr>
          <w:ilvl w:val="0"/>
          <w:numId w:val="8"/>
        </w:numPr>
      </w:pPr>
      <w:r>
        <w:t>Resuspend 1-5M cells in 500μl in 1% formaldehyde (see Note 3 on additional crosslinkers)</w:t>
      </w:r>
    </w:p>
    <w:p w14:paraId="00000040" w14:textId="77777777" w:rsidR="000F1BDE" w:rsidRDefault="003B060E">
      <w:pPr>
        <w:numPr>
          <w:ilvl w:val="0"/>
          <w:numId w:val="8"/>
        </w:numPr>
      </w:pPr>
      <w:r>
        <w:t>Rotate for 10 min</w:t>
      </w:r>
    </w:p>
    <w:p w14:paraId="00000041" w14:textId="77777777" w:rsidR="000F1BDE" w:rsidRDefault="003B060E">
      <w:pPr>
        <w:numPr>
          <w:ilvl w:val="0"/>
          <w:numId w:val="8"/>
        </w:numPr>
      </w:pPr>
      <w:r>
        <w:t>Add 25μl 2.5M Glycine (fin</w:t>
      </w:r>
      <w:r>
        <w:t>al conc. 0.125M Glycine) to quench the reaction</w:t>
      </w:r>
    </w:p>
    <w:p w14:paraId="00000042" w14:textId="77777777" w:rsidR="000F1BDE" w:rsidRDefault="003B060E">
      <w:pPr>
        <w:numPr>
          <w:ilvl w:val="0"/>
          <w:numId w:val="8"/>
        </w:numPr>
      </w:pPr>
      <w:r>
        <w:t>Rotate for 5 min</w:t>
      </w:r>
    </w:p>
    <w:p w14:paraId="00000043" w14:textId="77777777" w:rsidR="000F1BDE" w:rsidRDefault="003B060E">
      <w:pPr>
        <w:numPr>
          <w:ilvl w:val="0"/>
          <w:numId w:val="8"/>
        </w:numPr>
      </w:pPr>
      <w:r>
        <w:t>Incubate on ice, 15 min</w:t>
      </w:r>
    </w:p>
    <w:p w14:paraId="00000044" w14:textId="77777777" w:rsidR="000F1BDE" w:rsidRDefault="003B060E">
      <w:pPr>
        <w:numPr>
          <w:ilvl w:val="0"/>
          <w:numId w:val="8"/>
        </w:numPr>
      </w:pPr>
      <w:r>
        <w:t>Spin at 1000xg, 5 min</w:t>
      </w:r>
    </w:p>
    <w:p w14:paraId="00000045" w14:textId="77777777" w:rsidR="000F1BDE" w:rsidRDefault="003B060E">
      <w:pPr>
        <w:numPr>
          <w:ilvl w:val="0"/>
          <w:numId w:val="8"/>
        </w:numPr>
      </w:pPr>
      <w:r>
        <w:lastRenderedPageBreak/>
        <w:t>Wash twice with 1mL PBS (1X).</w:t>
      </w:r>
    </w:p>
    <w:p w14:paraId="00000046" w14:textId="77777777" w:rsidR="000F1BDE" w:rsidRDefault="003B060E">
      <w:pPr>
        <w:pStyle w:val="Heading3"/>
      </w:pPr>
      <w:bookmarkStart w:id="12" w:name="_om97ezw4bldr" w:colFirst="0" w:colLast="0"/>
      <w:bookmarkEnd w:id="12"/>
      <w:r>
        <w:t>3.2</w:t>
      </w:r>
      <w:r>
        <w:tab/>
        <w:t>Nuclei Purification</w:t>
      </w:r>
    </w:p>
    <w:p w14:paraId="00000047" w14:textId="77777777" w:rsidR="000F1BDE" w:rsidRDefault="003B060E">
      <w:r>
        <w:t>Keeping nuclei in single-cell suspension is important to ensure all nuclei are permeable to</w:t>
      </w:r>
      <w:r>
        <w:t xml:space="preserve"> the nucleases. Note: in some scenarios 1% Triton-X 100 after SDS can induce clumping, in which case 0.1% Triton-X 100 should alleviate issues. </w:t>
      </w:r>
    </w:p>
    <w:p w14:paraId="00000048" w14:textId="77777777" w:rsidR="000F1BDE" w:rsidRDefault="000F1BDE"/>
    <w:p w14:paraId="00000049" w14:textId="77777777" w:rsidR="000F1BDE" w:rsidRDefault="003B060E">
      <w:pPr>
        <w:numPr>
          <w:ilvl w:val="0"/>
          <w:numId w:val="4"/>
        </w:numPr>
      </w:pPr>
      <w:r>
        <w:t>Resuspend 1-5M cells in 200µl cold lysis buffer.</w:t>
      </w:r>
    </w:p>
    <w:p w14:paraId="0000004A" w14:textId="77777777" w:rsidR="000F1BDE" w:rsidRDefault="003B060E">
      <w:pPr>
        <w:numPr>
          <w:ilvl w:val="1"/>
          <w:numId w:val="4"/>
        </w:numPr>
      </w:pPr>
      <w:r>
        <w:t xml:space="preserve">Add 2μl of protease (100X) inhibitor cocktail </w:t>
      </w:r>
    </w:p>
    <w:p w14:paraId="0000004B" w14:textId="77777777" w:rsidR="000F1BDE" w:rsidRDefault="003B060E">
      <w:pPr>
        <w:numPr>
          <w:ilvl w:val="0"/>
          <w:numId w:val="4"/>
        </w:numPr>
      </w:pPr>
      <w:r>
        <w:t>Incubate on ic</w:t>
      </w:r>
      <w:r>
        <w:t>e for 15 min</w:t>
      </w:r>
    </w:p>
    <w:p w14:paraId="0000004C" w14:textId="77777777" w:rsidR="000F1BDE" w:rsidRDefault="003B060E">
      <w:pPr>
        <w:numPr>
          <w:ilvl w:val="0"/>
          <w:numId w:val="4"/>
        </w:numPr>
      </w:pPr>
      <w:r>
        <w:t>Add 2µL 10% SDS (final conc. 0.1% SDS)</w:t>
      </w:r>
    </w:p>
    <w:p w14:paraId="0000004D" w14:textId="77777777" w:rsidR="000F1BDE" w:rsidRDefault="003B060E">
      <w:pPr>
        <w:numPr>
          <w:ilvl w:val="0"/>
          <w:numId w:val="4"/>
        </w:numPr>
      </w:pPr>
      <w:r>
        <w:t>Incubate 10 min, 65℃, put on ice</w:t>
      </w:r>
    </w:p>
    <w:p w14:paraId="0000004E" w14:textId="77777777" w:rsidR="000F1BDE" w:rsidRDefault="003B060E">
      <w:pPr>
        <w:numPr>
          <w:ilvl w:val="0"/>
          <w:numId w:val="4"/>
        </w:numPr>
      </w:pPr>
      <w:r>
        <w:t>Add 20µL 10% Triton-X 100 (final conc. 1%)</w:t>
      </w:r>
    </w:p>
    <w:p w14:paraId="0000004F" w14:textId="77777777" w:rsidR="000F1BDE" w:rsidRDefault="003B060E">
      <w:pPr>
        <w:numPr>
          <w:ilvl w:val="1"/>
          <w:numId w:val="4"/>
        </w:numPr>
      </w:pPr>
      <w:r>
        <w:t>Optional incubation at 37℃ 15 min</w:t>
      </w:r>
    </w:p>
    <w:p w14:paraId="00000050" w14:textId="77777777" w:rsidR="000F1BDE" w:rsidRDefault="003B060E">
      <w:pPr>
        <w:numPr>
          <w:ilvl w:val="0"/>
          <w:numId w:val="4"/>
        </w:numPr>
      </w:pPr>
      <w:r>
        <w:t>Save input aliquots (non-digested sample)</w:t>
      </w:r>
    </w:p>
    <w:p w14:paraId="00000051" w14:textId="77777777" w:rsidR="000F1BDE" w:rsidRDefault="003B060E">
      <w:pPr>
        <w:numPr>
          <w:ilvl w:val="1"/>
          <w:numId w:val="4"/>
        </w:numPr>
      </w:pPr>
      <w:r>
        <w:t>~4.4µL</w:t>
      </w:r>
      <w:r>
        <w:tab/>
        <w:t xml:space="preserve">Microscopy/DAPI stain </w:t>
      </w:r>
    </w:p>
    <w:p w14:paraId="00000052" w14:textId="77777777" w:rsidR="000F1BDE" w:rsidRDefault="003B060E">
      <w:pPr>
        <w:numPr>
          <w:ilvl w:val="1"/>
          <w:numId w:val="4"/>
        </w:numPr>
        <w:spacing w:after="240"/>
      </w:pPr>
      <w:r>
        <w:t>~4.4µl</w:t>
      </w:r>
      <w:r>
        <w:tab/>
      </w:r>
      <w:r>
        <w:t>NGS input (2%)</w:t>
      </w:r>
    </w:p>
    <w:p w14:paraId="00000053" w14:textId="77777777" w:rsidR="000F1BDE" w:rsidRDefault="003B060E">
      <w:pPr>
        <w:pStyle w:val="Heading3"/>
      </w:pPr>
      <w:r>
        <w:t>3.3</w:t>
      </w:r>
      <w:r>
        <w:tab/>
        <w:t>Nuclease Digestion</w:t>
      </w:r>
    </w:p>
    <w:p w14:paraId="00000054" w14:textId="77777777" w:rsidR="000F1BDE" w:rsidRDefault="003B060E">
      <w:r>
        <w:t>The nuclease digestion leads to complete genome fragmentation as shown in Figure 1C. The addition of MgCl</w:t>
      </w:r>
      <w:r>
        <w:rPr>
          <w:vertAlign w:val="subscript"/>
        </w:rPr>
        <w:t>2</w:t>
      </w:r>
      <w:r>
        <w:t xml:space="preserve"> and CaCl</w:t>
      </w:r>
      <w:r>
        <w:rPr>
          <w:vertAlign w:val="subscript"/>
        </w:rPr>
        <w:t>2</w:t>
      </w:r>
      <w:r>
        <w:t xml:space="preserve"> can induce cell clumping and potentially lead to block enzyme permeability, for this reason we do not</w:t>
      </w:r>
      <w:r>
        <w:t xml:space="preserve"> rotate the cells, rather leave them on the benchtop. The issue of cell clumping is further discussed in Note 1. </w:t>
      </w:r>
    </w:p>
    <w:p w14:paraId="00000055" w14:textId="77777777" w:rsidR="000F1BDE" w:rsidRDefault="000F1BDE"/>
    <w:p w14:paraId="00000056" w14:textId="77777777" w:rsidR="000F1BDE" w:rsidRDefault="003B060E">
      <w:pPr>
        <w:numPr>
          <w:ilvl w:val="0"/>
          <w:numId w:val="9"/>
        </w:numPr>
      </w:pPr>
      <w:r>
        <w:t>Add 2.5mM MgCl</w:t>
      </w:r>
      <w:r>
        <w:rPr>
          <w:vertAlign w:val="subscript"/>
        </w:rPr>
        <w:t>2</w:t>
      </w:r>
      <w:r>
        <w:t xml:space="preserve"> and 2mM CaCl</w:t>
      </w:r>
      <w:r>
        <w:rPr>
          <w:vertAlign w:val="subscript"/>
        </w:rPr>
        <w:t>2</w:t>
      </w:r>
    </w:p>
    <w:p w14:paraId="00000057" w14:textId="77777777" w:rsidR="000F1BDE" w:rsidRDefault="003B060E">
      <w:pPr>
        <w:ind w:left="1440"/>
      </w:pPr>
      <w:r>
        <w:t>0.55µL</w:t>
      </w:r>
      <w:r>
        <w:tab/>
        <w:t>1M MgCl</w:t>
      </w:r>
      <w:r>
        <w:rPr>
          <w:vertAlign w:val="subscript"/>
        </w:rPr>
        <w:t>2</w:t>
      </w:r>
    </w:p>
    <w:p w14:paraId="00000058" w14:textId="77777777" w:rsidR="000F1BDE" w:rsidRDefault="003B060E">
      <w:pPr>
        <w:ind w:left="1440"/>
      </w:pPr>
      <w:r>
        <w:t>4.5µL</w:t>
      </w:r>
      <w:r>
        <w:tab/>
        <w:t>100mM CaCl</w:t>
      </w:r>
      <w:r>
        <w:rPr>
          <w:vertAlign w:val="subscript"/>
        </w:rPr>
        <w:t>2</w:t>
      </w:r>
    </w:p>
    <w:p w14:paraId="00000059" w14:textId="77777777" w:rsidR="000F1BDE" w:rsidRDefault="003B060E">
      <w:pPr>
        <w:numPr>
          <w:ilvl w:val="0"/>
          <w:numId w:val="9"/>
        </w:numPr>
      </w:pPr>
      <w:r>
        <w:t xml:space="preserve">Add 5µl </w:t>
      </w:r>
      <w:proofErr w:type="spellStart"/>
      <w:r>
        <w:t>DNaseI</w:t>
      </w:r>
      <w:proofErr w:type="spellEnd"/>
      <w:r>
        <w:t xml:space="preserve"> and 5µl </w:t>
      </w:r>
      <w:proofErr w:type="spellStart"/>
      <w:r>
        <w:t>MNase</w:t>
      </w:r>
      <w:proofErr w:type="spellEnd"/>
    </w:p>
    <w:p w14:paraId="0000005A" w14:textId="77777777" w:rsidR="000F1BDE" w:rsidRDefault="003B060E">
      <w:pPr>
        <w:numPr>
          <w:ilvl w:val="0"/>
          <w:numId w:val="9"/>
        </w:numPr>
      </w:pPr>
      <w:r>
        <w:t xml:space="preserve">Incubate 1hr </w:t>
      </w:r>
    </w:p>
    <w:p w14:paraId="0000005B" w14:textId="77777777" w:rsidR="000F1BDE" w:rsidRDefault="003B060E">
      <w:pPr>
        <w:numPr>
          <w:ilvl w:val="0"/>
          <w:numId w:val="9"/>
        </w:numPr>
      </w:pPr>
      <w:r>
        <w:t xml:space="preserve">Add 2µL </w:t>
      </w:r>
      <w:proofErr w:type="spellStart"/>
      <w:r>
        <w:t>RNaseA</w:t>
      </w:r>
      <w:proofErr w:type="spellEnd"/>
      <w:r>
        <w:t xml:space="preserve"> </w:t>
      </w:r>
    </w:p>
    <w:p w14:paraId="0000005C" w14:textId="77777777" w:rsidR="000F1BDE" w:rsidRDefault="003B060E">
      <w:pPr>
        <w:numPr>
          <w:ilvl w:val="0"/>
          <w:numId w:val="9"/>
        </w:numPr>
      </w:pPr>
      <w:r>
        <w:t>Incubate at 37℃ 30</w:t>
      </w:r>
      <w:r>
        <w:t xml:space="preserve"> min</w:t>
      </w:r>
    </w:p>
    <w:p w14:paraId="0000005D" w14:textId="77777777" w:rsidR="000F1BDE" w:rsidRDefault="003B060E">
      <w:pPr>
        <w:numPr>
          <w:ilvl w:val="0"/>
          <w:numId w:val="9"/>
        </w:numPr>
      </w:pPr>
      <w:r>
        <w:t>Spin at 2000xg 5 min</w:t>
      </w:r>
    </w:p>
    <w:p w14:paraId="0000005E" w14:textId="77777777" w:rsidR="000F1BDE" w:rsidRDefault="003B060E">
      <w:pPr>
        <w:numPr>
          <w:ilvl w:val="0"/>
          <w:numId w:val="9"/>
        </w:numPr>
      </w:pPr>
      <w:r>
        <w:t xml:space="preserve">Wash with 400µL Lysis Buffer </w:t>
      </w:r>
    </w:p>
    <w:p w14:paraId="0000005F" w14:textId="77777777" w:rsidR="000F1BDE" w:rsidRDefault="003B060E">
      <w:pPr>
        <w:numPr>
          <w:ilvl w:val="0"/>
          <w:numId w:val="9"/>
        </w:numPr>
      </w:pPr>
      <w:r>
        <w:t>Spin at 2000xg, 5 min</w:t>
      </w:r>
    </w:p>
    <w:p w14:paraId="00000060" w14:textId="77777777" w:rsidR="000F1BDE" w:rsidRDefault="003B060E">
      <w:pPr>
        <w:numPr>
          <w:ilvl w:val="0"/>
          <w:numId w:val="9"/>
        </w:numPr>
      </w:pPr>
      <w:r>
        <w:t>Repeat wash x2</w:t>
      </w:r>
    </w:p>
    <w:p w14:paraId="00000061" w14:textId="77777777" w:rsidR="000F1BDE" w:rsidRDefault="003B060E">
      <w:pPr>
        <w:numPr>
          <w:ilvl w:val="0"/>
          <w:numId w:val="9"/>
        </w:numPr>
      </w:pPr>
      <w:r>
        <w:t>Resuspend 100µL Stop Buffer</w:t>
      </w:r>
    </w:p>
    <w:p w14:paraId="00000062" w14:textId="77777777" w:rsidR="000F1BDE" w:rsidRDefault="003B060E">
      <w:pPr>
        <w:numPr>
          <w:ilvl w:val="0"/>
          <w:numId w:val="9"/>
        </w:numPr>
        <w:spacing w:after="240"/>
      </w:pPr>
      <w:r>
        <w:t>Save aliquot (~4µL) of nuclei for a DAPI stain (digested sample) (example shown in Figure 1B) (see Note 4).</w:t>
      </w:r>
    </w:p>
    <w:p w14:paraId="00000063" w14:textId="77777777" w:rsidR="000F1BDE" w:rsidRDefault="003B060E">
      <w:pPr>
        <w:pStyle w:val="Heading3"/>
      </w:pPr>
      <w:r>
        <w:t>3.4</w:t>
      </w:r>
      <w:r>
        <w:tab/>
        <w:t>Reverse Crosslinking and DNA Purification</w:t>
      </w:r>
    </w:p>
    <w:p w14:paraId="00000064" w14:textId="77777777" w:rsidR="000F1BDE" w:rsidRDefault="003B060E">
      <w:pPr>
        <w:numPr>
          <w:ilvl w:val="0"/>
          <w:numId w:val="2"/>
        </w:numPr>
      </w:pPr>
      <w:r>
        <w:t>Add 20µl Proteinase K and 10µl 10% SDS.</w:t>
      </w:r>
    </w:p>
    <w:p w14:paraId="00000065" w14:textId="77777777" w:rsidR="000F1BDE" w:rsidRDefault="003B060E">
      <w:pPr>
        <w:numPr>
          <w:ilvl w:val="0"/>
          <w:numId w:val="2"/>
        </w:numPr>
      </w:pPr>
      <w:r>
        <w:t xml:space="preserve">Incubate at 65℃ on </w:t>
      </w:r>
      <w:proofErr w:type="spellStart"/>
      <w:r>
        <w:t>ThermoMixer</w:t>
      </w:r>
      <w:proofErr w:type="spellEnd"/>
      <w:r>
        <w:t xml:space="preserve"> overnight (shaking optional).</w:t>
      </w:r>
    </w:p>
    <w:p w14:paraId="00000066" w14:textId="4B00A259" w:rsidR="000F1BDE" w:rsidRDefault="003B060E">
      <w:pPr>
        <w:numPr>
          <w:ilvl w:val="0"/>
          <w:numId w:val="2"/>
        </w:numPr>
      </w:pPr>
      <w:r>
        <w:lastRenderedPageBreak/>
        <w:t>P</w:t>
      </w:r>
      <w:r>
        <w:t xml:space="preserve">urify DNA using NEB Monarch DNA cleanup kit or equivalent using </w:t>
      </w:r>
      <w:r w:rsidR="007074FD">
        <w:t>manufacturer’s</w:t>
      </w:r>
      <w:r>
        <w:t xml:space="preserve"> instructions</w:t>
      </w:r>
    </w:p>
    <w:p w14:paraId="00000067" w14:textId="77777777" w:rsidR="000F1BDE" w:rsidRDefault="003B060E">
      <w:pPr>
        <w:numPr>
          <w:ilvl w:val="0"/>
          <w:numId w:val="2"/>
        </w:numPr>
      </w:pPr>
      <w:r>
        <w:t>Quantify DNA for NGS Library Prep using Qubit.</w:t>
      </w:r>
    </w:p>
    <w:p w14:paraId="00000068" w14:textId="77777777" w:rsidR="000F1BDE" w:rsidRDefault="003B060E">
      <w:pPr>
        <w:numPr>
          <w:ilvl w:val="1"/>
          <w:numId w:val="2"/>
        </w:numPr>
      </w:pPr>
      <w:r>
        <w:t>No sonication necessary</w:t>
      </w:r>
    </w:p>
    <w:p w14:paraId="00000069" w14:textId="77777777" w:rsidR="000F1BDE" w:rsidRDefault="003B060E">
      <w:pPr>
        <w:pStyle w:val="Heading3"/>
      </w:pPr>
      <w:bookmarkStart w:id="13" w:name="_2ylrcgkou2mo" w:colFirst="0" w:colLast="0"/>
      <w:bookmarkEnd w:id="13"/>
      <w:r>
        <w:t>3.5</w:t>
      </w:r>
      <w:r>
        <w:tab/>
        <w:t>NGS Library Preparation</w:t>
      </w:r>
    </w:p>
    <w:p w14:paraId="0000006A" w14:textId="77777777" w:rsidR="000F1BDE" w:rsidRDefault="003B060E">
      <w:r>
        <w:t xml:space="preserve">NGS libraries are constructed using </w:t>
      </w:r>
      <w:proofErr w:type="spellStart"/>
      <w:r>
        <w:t>NEBNext</w:t>
      </w:r>
      <w:proofErr w:type="spellEnd"/>
      <w:r>
        <w:t xml:space="preserve"> </w:t>
      </w:r>
      <w:proofErr w:type="spellStart"/>
      <w:r>
        <w:t>UltraII</w:t>
      </w:r>
      <w:proofErr w:type="spellEnd"/>
      <w:r>
        <w:t xml:space="preserve"> DNA library kit following the manufacturer's protocol. We typically use 200ng for library construction (ranging from 1ng - 1mg). NGS libraries have also been generated using individual enzymes for end rep</w:t>
      </w:r>
      <w:r>
        <w:t xml:space="preserve">air, </w:t>
      </w:r>
      <w:proofErr w:type="spellStart"/>
      <w:r>
        <w:t>dA</w:t>
      </w:r>
      <w:proofErr w:type="spellEnd"/>
      <w:r>
        <w:t xml:space="preserve">-tailing, and adapter ligation opposed to a commercial kit. </w:t>
      </w:r>
    </w:p>
    <w:p w14:paraId="0000006B" w14:textId="77777777" w:rsidR="000F1BDE" w:rsidRDefault="000F1BDE"/>
    <w:p w14:paraId="0000006C" w14:textId="77777777" w:rsidR="000F1BDE" w:rsidRDefault="003B060E">
      <w:pPr>
        <w:numPr>
          <w:ilvl w:val="0"/>
          <w:numId w:val="10"/>
        </w:numPr>
      </w:pPr>
      <w:r>
        <w:t xml:space="preserve">Add End Repair and </w:t>
      </w:r>
      <w:proofErr w:type="spellStart"/>
      <w:r>
        <w:t>dA</w:t>
      </w:r>
      <w:proofErr w:type="spellEnd"/>
      <w:r>
        <w:t>-tailing enzymes</w:t>
      </w:r>
    </w:p>
    <w:p w14:paraId="0000006D" w14:textId="77777777" w:rsidR="000F1BDE" w:rsidRDefault="003B060E">
      <w:pPr>
        <w:ind w:left="1440"/>
      </w:pPr>
      <w:r>
        <w:t xml:space="preserve">7µl </w:t>
      </w:r>
      <w:r>
        <w:tab/>
      </w:r>
      <w:proofErr w:type="spellStart"/>
      <w:r>
        <w:t>NEBNext</w:t>
      </w:r>
      <w:proofErr w:type="spellEnd"/>
      <w:r>
        <w:t xml:space="preserve"> </w:t>
      </w:r>
      <w:proofErr w:type="spellStart"/>
      <w:r>
        <w:t>UltraII</w:t>
      </w:r>
      <w:proofErr w:type="spellEnd"/>
      <w:r>
        <w:t xml:space="preserve"> End Prep Reaction Buffer (E7647AA)</w:t>
      </w:r>
    </w:p>
    <w:p w14:paraId="0000006E" w14:textId="77777777" w:rsidR="000F1BDE" w:rsidRDefault="003B060E">
      <w:pPr>
        <w:ind w:left="1440"/>
      </w:pPr>
      <w:r>
        <w:t xml:space="preserve">3µl </w:t>
      </w:r>
      <w:r>
        <w:tab/>
      </w:r>
      <w:proofErr w:type="spellStart"/>
      <w:r>
        <w:t>NEBNext</w:t>
      </w:r>
      <w:proofErr w:type="spellEnd"/>
      <w:r>
        <w:t xml:space="preserve"> </w:t>
      </w:r>
      <w:proofErr w:type="spellStart"/>
      <w:r>
        <w:t>UltraII</w:t>
      </w:r>
      <w:proofErr w:type="spellEnd"/>
      <w:r>
        <w:t xml:space="preserve"> End Prep Enzyme Mix (E7646AA)</w:t>
      </w:r>
    </w:p>
    <w:p w14:paraId="0000006F" w14:textId="77777777" w:rsidR="000F1BDE" w:rsidRDefault="003B060E">
      <w:pPr>
        <w:ind w:left="1440"/>
      </w:pPr>
      <w:r>
        <w:t xml:space="preserve">50µl </w:t>
      </w:r>
      <w:r>
        <w:tab/>
        <w:t>Purified DNA fragments</w:t>
      </w:r>
    </w:p>
    <w:p w14:paraId="00000070" w14:textId="77777777" w:rsidR="000F1BDE" w:rsidRDefault="003B060E">
      <w:pPr>
        <w:numPr>
          <w:ilvl w:val="0"/>
          <w:numId w:val="10"/>
        </w:numPr>
      </w:pPr>
      <w:r>
        <w:t>Incubate 30 m</w:t>
      </w:r>
      <w:r>
        <w:t>in at RT</w:t>
      </w:r>
    </w:p>
    <w:p w14:paraId="00000071" w14:textId="77777777" w:rsidR="000F1BDE" w:rsidRDefault="003B060E">
      <w:pPr>
        <w:numPr>
          <w:ilvl w:val="0"/>
          <w:numId w:val="10"/>
        </w:numPr>
      </w:pPr>
      <w:r>
        <w:t>Incubate 30 min at 65°C</w:t>
      </w:r>
    </w:p>
    <w:p w14:paraId="00000072" w14:textId="77777777" w:rsidR="000F1BDE" w:rsidRDefault="003B060E">
      <w:pPr>
        <w:numPr>
          <w:ilvl w:val="0"/>
          <w:numId w:val="10"/>
        </w:numPr>
      </w:pPr>
      <w:r>
        <w:t>Add Ligation Enzymes</w:t>
      </w:r>
    </w:p>
    <w:p w14:paraId="00000073" w14:textId="77777777" w:rsidR="000F1BDE" w:rsidRDefault="003B060E">
      <w:pPr>
        <w:ind w:left="1440"/>
      </w:pPr>
      <w:r>
        <w:t xml:space="preserve">60µl </w:t>
      </w:r>
      <w:r>
        <w:tab/>
        <w:t>End Repair/</w:t>
      </w:r>
      <w:proofErr w:type="spellStart"/>
      <w:r>
        <w:t>dA</w:t>
      </w:r>
      <w:proofErr w:type="spellEnd"/>
      <w:r>
        <w:t>-tailed DNA fragments</w:t>
      </w:r>
    </w:p>
    <w:p w14:paraId="00000074" w14:textId="77777777" w:rsidR="000F1BDE" w:rsidRDefault="003B060E">
      <w:pPr>
        <w:ind w:left="1440"/>
      </w:pPr>
      <w:r>
        <w:t xml:space="preserve">2.5µl </w:t>
      </w:r>
      <w:r>
        <w:tab/>
        <w:t xml:space="preserve">NEB loop adapter </w:t>
      </w:r>
    </w:p>
    <w:p w14:paraId="00000075" w14:textId="77777777" w:rsidR="000F1BDE" w:rsidRDefault="003B060E">
      <w:pPr>
        <w:ind w:left="1440"/>
      </w:pPr>
      <w:r>
        <w:t>30µl</w:t>
      </w:r>
      <w:r>
        <w:tab/>
        <w:t>Ligation Master Mix</w:t>
      </w:r>
    </w:p>
    <w:p w14:paraId="00000076" w14:textId="77777777" w:rsidR="000F1BDE" w:rsidRDefault="003B060E">
      <w:pPr>
        <w:ind w:left="1440"/>
      </w:pPr>
      <w:r>
        <w:t xml:space="preserve">1µl </w:t>
      </w:r>
      <w:r>
        <w:tab/>
        <w:t>Ligation enhancer</w:t>
      </w:r>
    </w:p>
    <w:p w14:paraId="00000077" w14:textId="77777777" w:rsidR="000F1BDE" w:rsidRDefault="003B060E">
      <w:pPr>
        <w:numPr>
          <w:ilvl w:val="0"/>
          <w:numId w:val="10"/>
        </w:numPr>
      </w:pPr>
      <w:r>
        <w:t>Incubate 1hr (see Note 5)</w:t>
      </w:r>
    </w:p>
    <w:p w14:paraId="00000078" w14:textId="77777777" w:rsidR="000F1BDE" w:rsidRDefault="003B060E">
      <w:pPr>
        <w:numPr>
          <w:ilvl w:val="0"/>
          <w:numId w:val="10"/>
        </w:numPr>
      </w:pPr>
      <w:r>
        <w:t>Add 3µl USER</w:t>
      </w:r>
    </w:p>
    <w:p w14:paraId="00000079" w14:textId="77777777" w:rsidR="000F1BDE" w:rsidRDefault="003B060E">
      <w:pPr>
        <w:numPr>
          <w:ilvl w:val="1"/>
          <w:numId w:val="10"/>
        </w:numPr>
      </w:pPr>
      <w:r>
        <w:t xml:space="preserve">Note this step is specific to NEB loop adapters  </w:t>
      </w:r>
    </w:p>
    <w:p w14:paraId="0000007A" w14:textId="77777777" w:rsidR="000F1BDE" w:rsidRDefault="003B060E">
      <w:pPr>
        <w:numPr>
          <w:ilvl w:val="0"/>
          <w:numId w:val="10"/>
        </w:numPr>
      </w:pPr>
      <w:r>
        <w:t xml:space="preserve">Incubate 30 min at 37°C </w:t>
      </w:r>
    </w:p>
    <w:p w14:paraId="0000007B" w14:textId="77777777" w:rsidR="000F1BDE" w:rsidRDefault="003B060E">
      <w:pPr>
        <w:numPr>
          <w:ilvl w:val="0"/>
          <w:numId w:val="10"/>
        </w:numPr>
      </w:pPr>
      <w:r>
        <w:t xml:space="preserve">Cleanup DNA fragments and remove </w:t>
      </w:r>
      <w:proofErr w:type="spellStart"/>
      <w:r>
        <w:t>unligated</w:t>
      </w:r>
      <w:proofErr w:type="spellEnd"/>
      <w:r>
        <w:t xml:space="preserve"> adapter with 0.9X </w:t>
      </w:r>
      <w:proofErr w:type="spellStart"/>
      <w:r>
        <w:t>AMPure</w:t>
      </w:r>
      <w:proofErr w:type="spellEnd"/>
    </w:p>
    <w:p w14:paraId="0000007C" w14:textId="77777777" w:rsidR="000F1BDE" w:rsidRDefault="003B060E">
      <w:pPr>
        <w:numPr>
          <w:ilvl w:val="0"/>
          <w:numId w:val="10"/>
        </w:numPr>
      </w:pPr>
      <w:r>
        <w:t>Resuspend in 15µl low-TE</w:t>
      </w:r>
    </w:p>
    <w:p w14:paraId="0000007D" w14:textId="77777777" w:rsidR="000F1BDE" w:rsidRDefault="003B060E">
      <w:pPr>
        <w:numPr>
          <w:ilvl w:val="0"/>
          <w:numId w:val="10"/>
        </w:numPr>
      </w:pPr>
      <w:r>
        <w:t xml:space="preserve">Setup PCR reaction </w:t>
      </w:r>
    </w:p>
    <w:p w14:paraId="0000007E" w14:textId="77777777" w:rsidR="000F1BDE" w:rsidRDefault="003B060E">
      <w:pPr>
        <w:ind w:left="1440"/>
      </w:pPr>
      <w:r>
        <w:t xml:space="preserve">15µl </w:t>
      </w:r>
      <w:r>
        <w:tab/>
        <w:t xml:space="preserve">Resuspended DNA </w:t>
      </w:r>
    </w:p>
    <w:p w14:paraId="0000007F" w14:textId="77777777" w:rsidR="000F1BDE" w:rsidRDefault="003B060E">
      <w:pPr>
        <w:ind w:left="1440"/>
      </w:pPr>
      <w:r>
        <w:t xml:space="preserve">5µl </w:t>
      </w:r>
      <w:r>
        <w:tab/>
        <w:t>Universal F primer</w:t>
      </w:r>
    </w:p>
    <w:p w14:paraId="00000080" w14:textId="77777777" w:rsidR="000F1BDE" w:rsidRDefault="003B060E">
      <w:pPr>
        <w:ind w:left="1440"/>
      </w:pPr>
      <w:r>
        <w:t xml:space="preserve">5µl </w:t>
      </w:r>
      <w:r>
        <w:tab/>
        <w:t>Index R primer</w:t>
      </w:r>
    </w:p>
    <w:p w14:paraId="00000081" w14:textId="77777777" w:rsidR="000F1BDE" w:rsidRDefault="003B060E">
      <w:pPr>
        <w:ind w:left="1440"/>
      </w:pPr>
      <w:r>
        <w:t xml:space="preserve">25µl </w:t>
      </w:r>
      <w:r>
        <w:tab/>
        <w:t xml:space="preserve">Q5 Master mix (2X) </w:t>
      </w:r>
    </w:p>
    <w:p w14:paraId="00000082" w14:textId="77777777" w:rsidR="000F1BDE" w:rsidRDefault="003B060E">
      <w:pPr>
        <w:numPr>
          <w:ilvl w:val="0"/>
          <w:numId w:val="10"/>
        </w:numPr>
      </w:pPr>
      <w:r>
        <w:t>PCR amplify library to add index barcodes</w:t>
      </w:r>
    </w:p>
    <w:p w14:paraId="00000083" w14:textId="77777777" w:rsidR="000F1BDE" w:rsidRDefault="003B060E">
      <w:pPr>
        <w:ind w:left="1440"/>
      </w:pPr>
      <w:r>
        <w:t>98°C for 30s</w:t>
      </w:r>
    </w:p>
    <w:p w14:paraId="00000084" w14:textId="77777777" w:rsidR="000F1BDE" w:rsidRDefault="003B060E">
      <w:pPr>
        <w:ind w:left="1440"/>
      </w:pPr>
      <w:r>
        <w:t>5 Cycles of:</w:t>
      </w:r>
    </w:p>
    <w:p w14:paraId="00000085" w14:textId="77777777" w:rsidR="000F1BDE" w:rsidRDefault="003B060E">
      <w:pPr>
        <w:ind w:left="1440" w:firstLine="720"/>
      </w:pPr>
      <w:r>
        <w:t>98°C for 10s</w:t>
      </w:r>
    </w:p>
    <w:p w14:paraId="00000086" w14:textId="77777777" w:rsidR="000F1BDE" w:rsidRDefault="003B060E">
      <w:pPr>
        <w:ind w:left="1440" w:firstLine="720"/>
      </w:pPr>
      <w:r>
        <w:t>65°C for 75s</w:t>
      </w:r>
    </w:p>
    <w:p w14:paraId="00000087" w14:textId="77777777" w:rsidR="000F1BDE" w:rsidRDefault="003B060E">
      <w:pPr>
        <w:ind w:left="1440"/>
      </w:pPr>
      <w:r>
        <w:t>65°C for 5 min</w:t>
      </w:r>
    </w:p>
    <w:p w14:paraId="00000088" w14:textId="77777777" w:rsidR="000F1BDE" w:rsidRDefault="003B060E">
      <w:pPr>
        <w:ind w:left="1440"/>
      </w:pPr>
      <w:r>
        <w:t xml:space="preserve">Hold at 4°C </w:t>
      </w:r>
    </w:p>
    <w:p w14:paraId="00000089" w14:textId="77777777" w:rsidR="000F1BDE" w:rsidRDefault="000F1BDE"/>
    <w:p w14:paraId="0000008A" w14:textId="3B62A071" w:rsidR="000F1BDE" w:rsidRDefault="003B060E">
      <w:pPr>
        <w:numPr>
          <w:ilvl w:val="0"/>
          <w:numId w:val="10"/>
        </w:numPr>
      </w:pPr>
      <w:r>
        <w:t xml:space="preserve">Clean up PCR product with 0.9X </w:t>
      </w:r>
      <w:proofErr w:type="spellStart"/>
      <w:r>
        <w:t>AMPure</w:t>
      </w:r>
      <w:proofErr w:type="spellEnd"/>
      <w:r>
        <w:t xml:space="preserve"> or equivalent following </w:t>
      </w:r>
      <w:r w:rsidR="007074FD">
        <w:t>manufacturer’s</w:t>
      </w:r>
      <w:r>
        <w:t xml:space="preserve"> instructions.</w:t>
      </w:r>
    </w:p>
    <w:p w14:paraId="0000008B" w14:textId="77777777" w:rsidR="000F1BDE" w:rsidRDefault="003B060E">
      <w:pPr>
        <w:numPr>
          <w:ilvl w:val="0"/>
          <w:numId w:val="10"/>
        </w:numPr>
      </w:pPr>
      <w:r>
        <w:t>Measure DNA by Qubit</w:t>
      </w:r>
    </w:p>
    <w:p w14:paraId="0000008C" w14:textId="77777777" w:rsidR="000F1BDE" w:rsidRDefault="003B060E">
      <w:pPr>
        <w:numPr>
          <w:ilvl w:val="0"/>
          <w:numId w:val="10"/>
        </w:numPr>
      </w:pPr>
      <w:r>
        <w:lastRenderedPageBreak/>
        <w:t>Store DNA library at -</w:t>
      </w:r>
      <w:r>
        <w:t>20°C (long-term) or 4°C (short-term).</w:t>
      </w:r>
    </w:p>
    <w:p w14:paraId="0000008D" w14:textId="77777777" w:rsidR="000F1BDE" w:rsidRDefault="003B060E">
      <w:pPr>
        <w:pStyle w:val="Heading3"/>
      </w:pPr>
      <w:bookmarkStart w:id="14" w:name="_bp6zet99p02a" w:colFirst="0" w:colLast="0"/>
      <w:bookmarkEnd w:id="14"/>
      <w:r>
        <w:t>3.7</w:t>
      </w:r>
      <w:r>
        <w:tab/>
        <w:t>NGS Library Quantification and Quality Control</w:t>
      </w:r>
    </w:p>
    <w:p w14:paraId="0000008E" w14:textId="77777777" w:rsidR="000F1BDE" w:rsidRDefault="003B060E">
      <w:r>
        <w:t xml:space="preserve">Before NGS libraries are sequenced, we perform three quality controls. </w:t>
      </w:r>
    </w:p>
    <w:p w14:paraId="0000008F" w14:textId="77777777" w:rsidR="000F1BDE" w:rsidRDefault="000F1BDE"/>
    <w:p w14:paraId="00000090" w14:textId="77777777" w:rsidR="000F1BDE" w:rsidRDefault="003B060E">
      <w:pPr>
        <w:numPr>
          <w:ilvl w:val="0"/>
          <w:numId w:val="5"/>
        </w:numPr>
      </w:pPr>
      <w:r>
        <w:t xml:space="preserve">Examination of library fragment size distribution. Gel electrophoresis and/or Bioanalyzer are </w:t>
      </w:r>
      <w:r>
        <w:t xml:space="preserve">suitable for approximating fragment length. On average, our fragments are 50-200bp as shown in Figure 1D. </w:t>
      </w:r>
    </w:p>
    <w:p w14:paraId="00000091" w14:textId="77777777" w:rsidR="000F1BDE" w:rsidRDefault="003B060E">
      <w:pPr>
        <w:numPr>
          <w:ilvl w:val="0"/>
          <w:numId w:val="5"/>
        </w:numPr>
      </w:pPr>
      <w:r>
        <w:t xml:space="preserve">Estimation of effective library concentration for optimal cluster density. Following the manufacturer's instructions, we use </w:t>
      </w:r>
      <w:proofErr w:type="spellStart"/>
      <w:r>
        <w:t>NEBNext</w:t>
      </w:r>
      <w:proofErr w:type="spellEnd"/>
      <w:r>
        <w:t xml:space="preserve"> Library Quant Ki</w:t>
      </w:r>
      <w:r>
        <w:t xml:space="preserve">t for Illumina which includes P5/P7 primers for amplification and DNA standards for quantitative PCR (qPCR). </w:t>
      </w:r>
    </w:p>
    <w:p w14:paraId="00000092" w14:textId="77777777" w:rsidR="000F1BDE" w:rsidRDefault="003B060E">
      <w:pPr>
        <w:numPr>
          <w:ilvl w:val="0"/>
          <w:numId w:val="5"/>
        </w:numPr>
      </w:pPr>
      <w:r>
        <w:t>Compare control (non-digested) and treatment (digested) nuclei using DAPI staining. In HCT116 cells, the treatment (or digested) sample consistent</w:t>
      </w:r>
      <w:r>
        <w:t xml:space="preserve">ly results in DAPI dense foci around the nuclear periphery whereas the input will have signal throughout the nucleus as shown in Figure 1B from </w:t>
      </w:r>
      <w:hyperlink r:id="rId15">
        <w:r>
          <w:rPr>
            <w:color w:val="000000"/>
          </w:rPr>
          <w:t>[4]</w:t>
        </w:r>
      </w:hyperlink>
      <w:r>
        <w:t>.</w:t>
      </w:r>
    </w:p>
    <w:p w14:paraId="00000093" w14:textId="77777777" w:rsidR="000F1BDE" w:rsidRDefault="003B060E">
      <w:pPr>
        <w:pStyle w:val="Heading3"/>
      </w:pPr>
      <w:bookmarkStart w:id="15" w:name="_j0bia8cv4khv" w:colFirst="0" w:colLast="0"/>
      <w:bookmarkEnd w:id="15"/>
      <w:r>
        <w:t>3.8</w:t>
      </w:r>
      <w:r>
        <w:tab/>
      </w:r>
      <w:r>
        <w:t>Sequencing and Expected Results</w:t>
      </w:r>
    </w:p>
    <w:p w14:paraId="00000094" w14:textId="56134A7D" w:rsidR="000F1BDE" w:rsidRDefault="003B060E">
      <w:r>
        <w:t>The above protocol is designed to generate sequencing libraries for Illumina. This version of the Protect-seq protocol results in small DNA fragments (&lt;200 bp) after nuclease digestion. Therefore, we recommend the use of pai</w:t>
      </w:r>
      <w:r>
        <w:t xml:space="preserve">red-end 2 x 50 bp or 2 x 75 bp sequencing kits. After sequencing, paired-end reads are mapped to the reference genome. We do not apply a MAPQ threshold because Protect-seq is enriched at transposable and repetitive </w:t>
      </w:r>
      <w:r w:rsidR="007849C1">
        <w:t>elements and</w:t>
      </w:r>
      <w:r>
        <w:t xml:space="preserve"> enriched evenly across the c</w:t>
      </w:r>
      <w:r>
        <w:t>entromere</w:t>
      </w:r>
      <w:r w:rsidR="0065565A">
        <w:t>s</w:t>
      </w:r>
      <w:r>
        <w:t xml:space="preserve">. Signal tracks can be represented as either fold-change or log2ratio using MACS2 </w:t>
      </w:r>
      <w:hyperlink r:id="rId16">
        <w:r>
          <w:rPr>
            <w:color w:val="000000"/>
          </w:rPr>
          <w:t>[10]</w:t>
        </w:r>
      </w:hyperlink>
      <w:r>
        <w:t xml:space="preserve"> or </w:t>
      </w:r>
      <w:proofErr w:type="spellStart"/>
      <w:r>
        <w:rPr>
          <w:i/>
        </w:rPr>
        <w:t>deeptools</w:t>
      </w:r>
      <w:proofErr w:type="spellEnd"/>
      <w:r>
        <w:rPr>
          <w:i/>
        </w:rPr>
        <w:t xml:space="preserve"> </w:t>
      </w:r>
      <w:hyperlink r:id="rId17">
        <w:r w:rsidRPr="007074FD">
          <w:rPr>
            <w:color w:val="000000"/>
          </w:rPr>
          <w:t>[11]</w:t>
        </w:r>
      </w:hyperlink>
      <w:r>
        <w:t xml:space="preserve"> as shown in Figure 1E. Thus far,</w:t>
      </w:r>
      <w:r>
        <w:t xml:space="preserve"> Protect-seq is strongly correlated with constitutive heterochromatin. </w:t>
      </w:r>
      <w:r w:rsidR="00F90C12">
        <w:t>Therefore,</w:t>
      </w:r>
      <w:r>
        <w:t xml:space="preserve"> we typically compare Protect-seq with other genomics techniques, such as </w:t>
      </w:r>
      <w:proofErr w:type="spellStart"/>
      <w:r>
        <w:t>ChIP</w:t>
      </w:r>
      <w:proofErr w:type="spellEnd"/>
      <w:r>
        <w:t>-seq for H3K27me3 and H3K9me3 when available. In addition, examining Protect-seq signal across chr</w:t>
      </w:r>
      <w:r>
        <w:t xml:space="preserve">omosome 19 in humans can be a good positive control as it contains conserved heterochromatin domains over zinc-finger repeats </w:t>
      </w:r>
      <w:hyperlink r:id="rId18">
        <w:r>
          <w:rPr>
            <w:color w:val="000000"/>
          </w:rPr>
          <w:t>[12]</w:t>
        </w:r>
      </w:hyperlink>
      <w:r>
        <w:t xml:space="preserve">.  </w:t>
      </w:r>
    </w:p>
    <w:p w14:paraId="00000095" w14:textId="77777777" w:rsidR="000F1BDE" w:rsidRDefault="003B060E">
      <w:pPr>
        <w:pStyle w:val="Heading2"/>
      </w:pPr>
      <w:bookmarkStart w:id="16" w:name="_3w8u89hxy8c" w:colFirst="0" w:colLast="0"/>
      <w:bookmarkEnd w:id="16"/>
      <w:r>
        <w:t xml:space="preserve">4 </w:t>
      </w:r>
      <w:r>
        <w:tab/>
        <w:t>Notes</w:t>
      </w:r>
    </w:p>
    <w:p w14:paraId="00000096" w14:textId="77777777" w:rsidR="000F1BDE" w:rsidRDefault="003B060E">
      <w:pPr>
        <w:numPr>
          <w:ilvl w:val="0"/>
          <w:numId w:val="11"/>
        </w:numPr>
      </w:pPr>
      <w:r>
        <w:t>In human cell lines, we found quite a high degree of varia</w:t>
      </w:r>
      <w:r>
        <w:t>bility in nuclei extractions with some cell lines tending to strongly clump while others less so. Therefore, nuclei extraction protocols may need to be optimized depending on the cell line of interest. The MgCl</w:t>
      </w:r>
      <w:r>
        <w:rPr>
          <w:vertAlign w:val="subscript"/>
        </w:rPr>
        <w:t>2</w:t>
      </w:r>
      <w:r>
        <w:t xml:space="preserve"> and CaCl</w:t>
      </w:r>
      <w:r>
        <w:rPr>
          <w:vertAlign w:val="subscript"/>
        </w:rPr>
        <w:t xml:space="preserve">2 </w:t>
      </w:r>
      <w:r>
        <w:t xml:space="preserve">can also be lowered if needed. </w:t>
      </w:r>
    </w:p>
    <w:p w14:paraId="00000097" w14:textId="77777777" w:rsidR="000F1BDE" w:rsidRDefault="003B060E">
      <w:pPr>
        <w:numPr>
          <w:ilvl w:val="0"/>
          <w:numId w:val="11"/>
        </w:numPr>
      </w:pPr>
      <w:r>
        <w:t>Pr</w:t>
      </w:r>
      <w:r>
        <w:t>otect-seq was developed using HCT116 and has been the most consistent in HCT116. Expanding and interpreting Protect-seq data on cell lines with few and/or small heterochromatin domains (</w:t>
      </w:r>
      <w:proofErr w:type="gramStart"/>
      <w:r>
        <w:t>i.e.</w:t>
      </w:r>
      <w:proofErr w:type="gramEnd"/>
      <w:r>
        <w:t xml:space="preserve"> stem cells and blood lineages) has been less successful. One pote</w:t>
      </w:r>
      <w:r>
        <w:t xml:space="preserve">ntial improvement may be the addition of high salt washes after digestion to remove soluble chromatin </w:t>
      </w:r>
      <w:hyperlink r:id="rId19">
        <w:r>
          <w:rPr>
            <w:color w:val="000000"/>
          </w:rPr>
          <w:t>[13–16]</w:t>
        </w:r>
      </w:hyperlink>
      <w:r>
        <w:t xml:space="preserve">.  </w:t>
      </w:r>
    </w:p>
    <w:p w14:paraId="00000098" w14:textId="77777777" w:rsidR="000F1BDE" w:rsidRDefault="003B060E">
      <w:pPr>
        <w:numPr>
          <w:ilvl w:val="0"/>
          <w:numId w:val="11"/>
        </w:numPr>
      </w:pPr>
      <w:r>
        <w:lastRenderedPageBreak/>
        <w:t>Protect-seq is compatible with other types of crosslinkers such as disucc</w:t>
      </w:r>
      <w:r>
        <w:t xml:space="preserve">inimidyl </w:t>
      </w:r>
      <w:proofErr w:type="spellStart"/>
      <w:r>
        <w:t>glutarate</w:t>
      </w:r>
      <w:proofErr w:type="spellEnd"/>
      <w:r>
        <w:t xml:space="preserve"> (DSG) and ethylene glycol </w:t>
      </w:r>
      <w:proofErr w:type="gramStart"/>
      <w:r>
        <w:t>bis(</w:t>
      </w:r>
      <w:proofErr w:type="spellStart"/>
      <w:proofErr w:type="gramEnd"/>
      <w:r>
        <w:t>succinimidyl</w:t>
      </w:r>
      <w:proofErr w:type="spellEnd"/>
      <w:r>
        <w:t xml:space="preserve"> succinate) (EGS). Below is an example of a double crosslinker protocol with formaldehyde (FA). Prepare a 300mM stock DSG or EGS (dissolve DSG or EGS powder in DMSO). After FA crosslinking (step </w:t>
      </w:r>
      <w:r>
        <w:t>8 in section 3.1), cell pellets are resuspended in 5mL PBS. Add 50µl 300mM DSG/EGS (3mM final conc.). Rotate 40 mins at room temperature. Quench the reaction with 962µl 2.5M Glycine (0.4M final conc.). Rotate for 5 mins, spin 15 mins at x2000g, wash double</w:t>
      </w:r>
      <w:r>
        <w:t xml:space="preserve"> crosslinked cell pellets with PBS + 0.05% BSA, spin at 4°C x2000g 15 mins, remove supernatant completely. For long-term storage, snap freeze dry pellets in liquid nitrogen and store at -80°C.</w:t>
      </w:r>
    </w:p>
    <w:p w14:paraId="00000099" w14:textId="77777777" w:rsidR="000F1BDE" w:rsidRDefault="003B060E">
      <w:pPr>
        <w:numPr>
          <w:ilvl w:val="0"/>
          <w:numId w:val="11"/>
        </w:numPr>
      </w:pPr>
      <w:r>
        <w:t xml:space="preserve">This aliquot volume might need to be adjusted depending on the </w:t>
      </w:r>
      <w:r>
        <w:t xml:space="preserve">nuclei concentration. </w:t>
      </w:r>
    </w:p>
    <w:p w14:paraId="0000009A" w14:textId="77777777" w:rsidR="000F1BDE" w:rsidRDefault="003B060E">
      <w:pPr>
        <w:numPr>
          <w:ilvl w:val="0"/>
          <w:numId w:val="11"/>
        </w:numPr>
      </w:pPr>
      <w:r>
        <w:t xml:space="preserve">Ligation times can range from 30 min to 4 hr. </w:t>
      </w:r>
    </w:p>
    <w:p w14:paraId="0000009B" w14:textId="77777777" w:rsidR="000F1BDE" w:rsidRDefault="000F1BDE"/>
    <w:p w14:paraId="0000009C" w14:textId="77777777" w:rsidR="000F1BDE" w:rsidRDefault="003B060E">
      <w:pPr>
        <w:pStyle w:val="Heading2"/>
      </w:pPr>
      <w:bookmarkStart w:id="17" w:name="_uswxmctulpav" w:colFirst="0" w:colLast="0"/>
      <w:bookmarkEnd w:id="17"/>
      <w:r>
        <w:t>5</w:t>
      </w:r>
      <w:r>
        <w:tab/>
        <w:t>References</w:t>
      </w:r>
    </w:p>
    <w:p w14:paraId="0000009D" w14:textId="77777777" w:rsidR="000F1BDE" w:rsidRDefault="003B060E">
      <w:pPr>
        <w:widowControl w:val="0"/>
        <w:pBdr>
          <w:top w:val="nil"/>
          <w:left w:val="nil"/>
          <w:bottom w:val="nil"/>
          <w:right w:val="nil"/>
          <w:between w:val="nil"/>
        </w:pBdr>
        <w:spacing w:before="220" w:after="220" w:line="240" w:lineRule="auto"/>
        <w:ind w:left="440" w:hanging="440"/>
        <w:rPr>
          <w:color w:val="000000"/>
        </w:rPr>
      </w:pPr>
      <w:r>
        <w:rPr>
          <w:color w:val="000000"/>
        </w:rPr>
        <w:t xml:space="preserve">1. </w:t>
      </w:r>
      <w:r>
        <w:rPr>
          <w:color w:val="000000"/>
        </w:rPr>
        <w:tab/>
      </w:r>
      <w:hyperlink r:id="rId20">
        <w:r>
          <w:rPr>
            <w:color w:val="000000"/>
          </w:rPr>
          <w:t xml:space="preserve">Klemm SL, </w:t>
        </w:r>
        <w:proofErr w:type="spellStart"/>
        <w:r>
          <w:rPr>
            <w:color w:val="000000"/>
          </w:rPr>
          <w:t>Shipony</w:t>
        </w:r>
        <w:proofErr w:type="spellEnd"/>
        <w:r>
          <w:rPr>
            <w:color w:val="000000"/>
          </w:rPr>
          <w:t xml:space="preserve"> Z, Greenleaf WJ (2019) Chromatin accessibility and the regulatory epigenome. Nat Rev Genet 20:207–220</w:t>
        </w:r>
      </w:hyperlink>
    </w:p>
    <w:p w14:paraId="0000009E"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2. </w:t>
      </w:r>
      <w:r>
        <w:rPr>
          <w:color w:val="000000"/>
        </w:rPr>
        <w:tab/>
      </w:r>
      <w:hyperlink r:id="rId21">
        <w:r>
          <w:rPr>
            <w:color w:val="000000"/>
          </w:rPr>
          <w:t xml:space="preserve">Becker JS, McCarthy RL, </w:t>
        </w:r>
        <w:proofErr w:type="spellStart"/>
        <w:r>
          <w:rPr>
            <w:color w:val="000000"/>
          </w:rPr>
          <w:t>Sidoli</w:t>
        </w:r>
        <w:proofErr w:type="spellEnd"/>
        <w:r>
          <w:rPr>
            <w:color w:val="000000"/>
          </w:rPr>
          <w:t xml:space="preserve"> S, et al (2017) Genomic and Proteomic Resolutio</w:t>
        </w:r>
        <w:r>
          <w:rPr>
            <w:color w:val="000000"/>
          </w:rPr>
          <w:t>n of Heterochromatin and Its Restriction of Alternate Fate Genes. Mol Cell 68:1023–1037.e15</w:t>
        </w:r>
      </w:hyperlink>
    </w:p>
    <w:p w14:paraId="0000009F"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3. </w:t>
      </w:r>
      <w:r>
        <w:rPr>
          <w:color w:val="000000"/>
        </w:rPr>
        <w:tab/>
      </w:r>
      <w:hyperlink r:id="rId22">
        <w:proofErr w:type="spellStart"/>
        <w:r>
          <w:rPr>
            <w:color w:val="000000"/>
          </w:rPr>
          <w:t>Sebestyén</w:t>
        </w:r>
        <w:proofErr w:type="spellEnd"/>
        <w:r>
          <w:rPr>
            <w:color w:val="000000"/>
          </w:rPr>
          <w:t xml:space="preserve"> E, </w:t>
        </w:r>
        <w:proofErr w:type="spellStart"/>
        <w:r>
          <w:rPr>
            <w:color w:val="000000"/>
          </w:rPr>
          <w:t>Marullo</w:t>
        </w:r>
        <w:proofErr w:type="spellEnd"/>
        <w:r>
          <w:rPr>
            <w:color w:val="000000"/>
          </w:rPr>
          <w:t xml:space="preserve"> F, </w:t>
        </w:r>
        <w:proofErr w:type="spellStart"/>
        <w:r>
          <w:rPr>
            <w:color w:val="000000"/>
          </w:rPr>
          <w:t>Lucini</w:t>
        </w:r>
        <w:proofErr w:type="spellEnd"/>
        <w:r>
          <w:rPr>
            <w:color w:val="000000"/>
          </w:rPr>
          <w:t xml:space="preserve"> F, et al (2020) SAMMY-seq reveals early alteration of heterochromatin and d</w:t>
        </w:r>
        <w:r>
          <w:rPr>
            <w:color w:val="000000"/>
          </w:rPr>
          <w:t xml:space="preserve">eregulation of bivalent genes in Hutchinson-Gilford Progeria Syndrome. Nat </w:t>
        </w:r>
        <w:proofErr w:type="spellStart"/>
        <w:r>
          <w:rPr>
            <w:color w:val="000000"/>
          </w:rPr>
          <w:t>Commun</w:t>
        </w:r>
        <w:proofErr w:type="spellEnd"/>
        <w:r>
          <w:rPr>
            <w:color w:val="000000"/>
          </w:rPr>
          <w:t xml:space="preserve"> 11:6274</w:t>
        </w:r>
      </w:hyperlink>
    </w:p>
    <w:p w14:paraId="000000A0"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4. </w:t>
      </w:r>
      <w:r>
        <w:rPr>
          <w:color w:val="000000"/>
        </w:rPr>
        <w:tab/>
      </w:r>
      <w:hyperlink r:id="rId23">
        <w:r>
          <w:rPr>
            <w:color w:val="000000"/>
          </w:rPr>
          <w:t>Spracklin G, Pradhan S (2020) Protect-seq: genome-wide profiling of nuclease inaccessible domains reveals ph</w:t>
        </w:r>
        <w:r>
          <w:rPr>
            <w:color w:val="000000"/>
          </w:rPr>
          <w:t xml:space="preserve">ysical properties of chromatin. Nucleic Acids Res </w:t>
        </w:r>
        <w:proofErr w:type="gramStart"/>
        <w:r>
          <w:rPr>
            <w:color w:val="000000"/>
          </w:rPr>
          <w:t>48:e</w:t>
        </w:r>
        <w:proofErr w:type="gramEnd"/>
        <w:r>
          <w:rPr>
            <w:color w:val="000000"/>
          </w:rPr>
          <w:t>16</w:t>
        </w:r>
      </w:hyperlink>
    </w:p>
    <w:p w14:paraId="000000A1"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5. </w:t>
      </w:r>
      <w:r>
        <w:rPr>
          <w:color w:val="000000"/>
        </w:rPr>
        <w:tab/>
      </w:r>
      <w:hyperlink r:id="rId24">
        <w:r>
          <w:rPr>
            <w:color w:val="000000"/>
          </w:rPr>
          <w:t xml:space="preserve">van Schaik T, Vos M, </w:t>
        </w:r>
        <w:proofErr w:type="spellStart"/>
        <w:r>
          <w:rPr>
            <w:color w:val="000000"/>
          </w:rPr>
          <w:t>Peric-Hupkes</w:t>
        </w:r>
        <w:proofErr w:type="spellEnd"/>
        <w:r>
          <w:rPr>
            <w:color w:val="000000"/>
          </w:rPr>
          <w:t xml:space="preserve"> D, et al (2020) Cell cycle dynamics of lamina-associated DNA. EMBO Rep </w:t>
        </w:r>
        <w:proofErr w:type="gramStart"/>
        <w:r>
          <w:rPr>
            <w:color w:val="000000"/>
          </w:rPr>
          <w:t>21:e</w:t>
        </w:r>
        <w:proofErr w:type="gramEnd"/>
        <w:r>
          <w:rPr>
            <w:color w:val="000000"/>
          </w:rPr>
          <w:t>50636</w:t>
        </w:r>
      </w:hyperlink>
    </w:p>
    <w:p w14:paraId="000000A2"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6. </w:t>
      </w:r>
      <w:r>
        <w:rPr>
          <w:color w:val="000000"/>
        </w:rPr>
        <w:tab/>
      </w:r>
      <w:hyperlink r:id="rId25">
        <w:proofErr w:type="spellStart"/>
        <w:r>
          <w:rPr>
            <w:color w:val="000000"/>
          </w:rPr>
          <w:t>Guelen</w:t>
        </w:r>
        <w:proofErr w:type="spellEnd"/>
        <w:r>
          <w:rPr>
            <w:color w:val="000000"/>
          </w:rPr>
          <w:t xml:space="preserve"> L, </w:t>
        </w:r>
        <w:proofErr w:type="spellStart"/>
        <w:r>
          <w:rPr>
            <w:color w:val="000000"/>
          </w:rPr>
          <w:t>Pagie</w:t>
        </w:r>
        <w:proofErr w:type="spellEnd"/>
        <w:r>
          <w:rPr>
            <w:color w:val="000000"/>
          </w:rPr>
          <w:t xml:space="preserve"> L, Brasset E, et al (2008) Domain organization of human chromosomes</w:t>
        </w:r>
        <w:r>
          <w:rPr>
            <w:color w:val="000000"/>
          </w:rPr>
          <w:t xml:space="preserve"> revealed by mapping of nuclear lamina interactions. Nature 453:948–951</w:t>
        </w:r>
      </w:hyperlink>
    </w:p>
    <w:p w14:paraId="000000A3"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7. </w:t>
      </w:r>
      <w:r>
        <w:rPr>
          <w:color w:val="000000"/>
        </w:rPr>
        <w:tab/>
      </w:r>
      <w:hyperlink r:id="rId26">
        <w:proofErr w:type="spellStart"/>
        <w:r>
          <w:rPr>
            <w:color w:val="000000"/>
          </w:rPr>
          <w:t>Schones</w:t>
        </w:r>
        <w:proofErr w:type="spellEnd"/>
        <w:r>
          <w:rPr>
            <w:color w:val="000000"/>
          </w:rPr>
          <w:t xml:space="preserve"> DE, Cui K, </w:t>
        </w:r>
        <w:proofErr w:type="spellStart"/>
        <w:r>
          <w:rPr>
            <w:color w:val="000000"/>
          </w:rPr>
          <w:t>Cuddapah</w:t>
        </w:r>
        <w:proofErr w:type="spellEnd"/>
        <w:r>
          <w:rPr>
            <w:color w:val="000000"/>
          </w:rPr>
          <w:t xml:space="preserve"> S, et al (2008) Dynamic regulation of nucleosome positioning in the human genome. Cell 132:887–898</w:t>
        </w:r>
      </w:hyperlink>
    </w:p>
    <w:p w14:paraId="000000A4"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8. </w:t>
      </w:r>
      <w:r>
        <w:rPr>
          <w:color w:val="000000"/>
        </w:rPr>
        <w:tab/>
      </w:r>
      <w:hyperlink r:id="rId27">
        <w:r>
          <w:rPr>
            <w:color w:val="000000"/>
          </w:rPr>
          <w:t xml:space="preserve">Boyle AP, Davis S, </w:t>
        </w:r>
        <w:proofErr w:type="spellStart"/>
        <w:r>
          <w:rPr>
            <w:color w:val="000000"/>
          </w:rPr>
          <w:t>Shulha</w:t>
        </w:r>
        <w:proofErr w:type="spellEnd"/>
        <w:r>
          <w:rPr>
            <w:color w:val="000000"/>
          </w:rPr>
          <w:t xml:space="preserve"> HP, et al (2008) High-resolution mapping and characterization of open chromatin across the genome. Cell 132:311–322</w:t>
        </w:r>
      </w:hyperlink>
    </w:p>
    <w:p w14:paraId="000000A5"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9. </w:t>
      </w:r>
      <w:r>
        <w:rPr>
          <w:color w:val="000000"/>
        </w:rPr>
        <w:tab/>
      </w:r>
      <w:hyperlink r:id="rId28">
        <w:proofErr w:type="spellStart"/>
        <w:r>
          <w:rPr>
            <w:color w:val="000000"/>
          </w:rPr>
          <w:t>Buenrostro</w:t>
        </w:r>
        <w:proofErr w:type="spellEnd"/>
        <w:r>
          <w:rPr>
            <w:color w:val="000000"/>
          </w:rPr>
          <w:t xml:space="preserve"> JD, </w:t>
        </w:r>
        <w:proofErr w:type="spellStart"/>
        <w:r>
          <w:rPr>
            <w:color w:val="000000"/>
          </w:rPr>
          <w:t>Giresi</w:t>
        </w:r>
        <w:proofErr w:type="spellEnd"/>
        <w:r>
          <w:rPr>
            <w:color w:val="000000"/>
          </w:rPr>
          <w:t xml:space="preserve"> PG, </w:t>
        </w:r>
        <w:proofErr w:type="spellStart"/>
        <w:r>
          <w:rPr>
            <w:color w:val="000000"/>
          </w:rPr>
          <w:t>Zaba</w:t>
        </w:r>
        <w:proofErr w:type="spellEnd"/>
        <w:r>
          <w:rPr>
            <w:color w:val="000000"/>
          </w:rPr>
          <w:t xml:space="preserve"> LC, et al (2013) Transposition of native chromatin for fast and sensitive epigenomic profiling of open chromatin, DNA-binding </w:t>
        </w:r>
        <w:proofErr w:type="gramStart"/>
        <w:r>
          <w:rPr>
            <w:color w:val="000000"/>
          </w:rPr>
          <w:t>proteins</w:t>
        </w:r>
        <w:proofErr w:type="gramEnd"/>
        <w:r>
          <w:rPr>
            <w:color w:val="000000"/>
          </w:rPr>
          <w:t xml:space="preserve"> and nucleosome position. Nat Methods 10:1213–1218</w:t>
        </w:r>
      </w:hyperlink>
    </w:p>
    <w:p w14:paraId="000000A6"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10. </w:t>
      </w:r>
      <w:r>
        <w:rPr>
          <w:color w:val="000000"/>
        </w:rPr>
        <w:tab/>
      </w:r>
      <w:hyperlink r:id="rId29">
        <w:r>
          <w:rPr>
            <w:color w:val="000000"/>
          </w:rPr>
          <w:t xml:space="preserve">Zhang Y, Liu T, Meyer CA, et al (2008) Model-based analysis of </w:t>
        </w:r>
        <w:proofErr w:type="spellStart"/>
        <w:r>
          <w:rPr>
            <w:color w:val="000000"/>
          </w:rPr>
          <w:t>ChIP</w:t>
        </w:r>
        <w:proofErr w:type="spellEnd"/>
        <w:r>
          <w:rPr>
            <w:color w:val="000000"/>
          </w:rPr>
          <w:t xml:space="preserve">-Seq (MACS). Genome Biol </w:t>
        </w:r>
        <w:proofErr w:type="gramStart"/>
        <w:r>
          <w:rPr>
            <w:color w:val="000000"/>
          </w:rPr>
          <w:t>9:R</w:t>
        </w:r>
        <w:proofErr w:type="gramEnd"/>
        <w:r>
          <w:rPr>
            <w:color w:val="000000"/>
          </w:rPr>
          <w:t>137</w:t>
        </w:r>
      </w:hyperlink>
    </w:p>
    <w:p w14:paraId="000000A7" w14:textId="77777777" w:rsidR="000F1BDE" w:rsidRDefault="003B060E" w:rsidP="0068140A">
      <w:pPr>
        <w:widowControl w:val="0"/>
        <w:pBdr>
          <w:top w:val="nil"/>
          <w:left w:val="nil"/>
          <w:bottom w:val="nil"/>
          <w:right w:val="nil"/>
          <w:between w:val="nil"/>
        </w:pBdr>
        <w:spacing w:after="220" w:line="240" w:lineRule="auto"/>
        <w:ind w:left="720" w:hanging="720"/>
        <w:rPr>
          <w:color w:val="000000"/>
        </w:rPr>
      </w:pPr>
      <w:r>
        <w:rPr>
          <w:color w:val="000000"/>
        </w:rPr>
        <w:t xml:space="preserve">11. </w:t>
      </w:r>
      <w:r>
        <w:rPr>
          <w:color w:val="000000"/>
        </w:rPr>
        <w:tab/>
      </w:r>
      <w:hyperlink r:id="rId30">
        <w:r>
          <w:rPr>
            <w:color w:val="000000"/>
          </w:rPr>
          <w:t xml:space="preserve">Ramírez F, Ryan DP, </w:t>
        </w:r>
        <w:proofErr w:type="spellStart"/>
        <w:r>
          <w:rPr>
            <w:color w:val="000000"/>
          </w:rPr>
          <w:t>Grüning</w:t>
        </w:r>
        <w:proofErr w:type="spellEnd"/>
        <w:r>
          <w:rPr>
            <w:color w:val="000000"/>
          </w:rPr>
          <w:t xml:space="preserve"> B, et al (2016) deepTools2: a next generation we</w:t>
        </w:r>
        <w:r>
          <w:rPr>
            <w:color w:val="000000"/>
          </w:rPr>
          <w:t xml:space="preserve">b server </w:t>
        </w:r>
        <w:r>
          <w:rPr>
            <w:color w:val="000000"/>
          </w:rPr>
          <w:lastRenderedPageBreak/>
          <w:t xml:space="preserve">for deep-sequencing data analysis. Nucleic Acids Res </w:t>
        </w:r>
        <w:proofErr w:type="gramStart"/>
        <w:r>
          <w:rPr>
            <w:color w:val="000000"/>
          </w:rPr>
          <w:t>44:W</w:t>
        </w:r>
        <w:proofErr w:type="gramEnd"/>
        <w:r>
          <w:rPr>
            <w:color w:val="000000"/>
          </w:rPr>
          <w:t>160–5</w:t>
        </w:r>
      </w:hyperlink>
    </w:p>
    <w:p w14:paraId="000000A8"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12. </w:t>
      </w:r>
      <w:r>
        <w:rPr>
          <w:color w:val="000000"/>
        </w:rPr>
        <w:tab/>
      </w:r>
      <w:hyperlink r:id="rId31">
        <w:r>
          <w:rPr>
            <w:color w:val="000000"/>
          </w:rPr>
          <w:t xml:space="preserve">Vogel MJ, </w:t>
        </w:r>
        <w:proofErr w:type="spellStart"/>
        <w:r>
          <w:rPr>
            <w:color w:val="000000"/>
          </w:rPr>
          <w:t>Guelen</w:t>
        </w:r>
        <w:proofErr w:type="spellEnd"/>
        <w:r>
          <w:rPr>
            <w:color w:val="000000"/>
          </w:rPr>
          <w:t xml:space="preserve"> L, de Wit E, et al (2006) Human heterochromatin proteins form large domains containing KRAB-ZNF genes. Genom</w:t>
        </w:r>
        <w:r>
          <w:rPr>
            <w:color w:val="000000"/>
          </w:rPr>
          <w:t>e Res 16:1493–1504</w:t>
        </w:r>
      </w:hyperlink>
    </w:p>
    <w:p w14:paraId="000000A9"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13. </w:t>
      </w:r>
      <w:r>
        <w:rPr>
          <w:color w:val="000000"/>
        </w:rPr>
        <w:tab/>
      </w:r>
      <w:hyperlink r:id="rId32">
        <w:proofErr w:type="spellStart"/>
        <w:r>
          <w:rPr>
            <w:color w:val="000000"/>
          </w:rPr>
          <w:t>Berezney</w:t>
        </w:r>
        <w:proofErr w:type="spellEnd"/>
        <w:r>
          <w:rPr>
            <w:color w:val="000000"/>
          </w:rPr>
          <w:t xml:space="preserve"> R, Funk LK, Crane FL (1970) The isolation of nuclear membrane from a large-scale preparation of bovine liver nuclei. </w:t>
        </w:r>
        <w:proofErr w:type="spellStart"/>
        <w:r>
          <w:rPr>
            <w:color w:val="000000"/>
          </w:rPr>
          <w:t>Biochim</w:t>
        </w:r>
        <w:proofErr w:type="spellEnd"/>
        <w:r>
          <w:rPr>
            <w:color w:val="000000"/>
          </w:rPr>
          <w:t xml:space="preserve"> </w:t>
        </w:r>
        <w:proofErr w:type="spellStart"/>
        <w:r>
          <w:rPr>
            <w:color w:val="000000"/>
          </w:rPr>
          <w:t>Biophys</w:t>
        </w:r>
        <w:proofErr w:type="spellEnd"/>
        <w:r>
          <w:rPr>
            <w:color w:val="000000"/>
          </w:rPr>
          <w:t xml:space="preserve"> Acta 203:531–546</w:t>
        </w:r>
      </w:hyperlink>
    </w:p>
    <w:p w14:paraId="000000AA"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14. </w:t>
      </w:r>
      <w:r>
        <w:rPr>
          <w:color w:val="000000"/>
        </w:rPr>
        <w:tab/>
      </w:r>
      <w:hyperlink r:id="rId33">
        <w:r>
          <w:rPr>
            <w:color w:val="000000"/>
          </w:rPr>
          <w:t xml:space="preserve">Ueda K, Matsuura T, Date N, Kawai K (1969) The occurrence of cytochromes in the membranous structures of calf thymus nuclei. </w:t>
        </w:r>
        <w:proofErr w:type="spellStart"/>
        <w:r>
          <w:rPr>
            <w:color w:val="000000"/>
          </w:rPr>
          <w:t>Biochem</w:t>
        </w:r>
        <w:proofErr w:type="spellEnd"/>
        <w:r>
          <w:rPr>
            <w:color w:val="000000"/>
          </w:rPr>
          <w:t xml:space="preserve"> </w:t>
        </w:r>
        <w:proofErr w:type="spellStart"/>
        <w:r>
          <w:rPr>
            <w:color w:val="000000"/>
          </w:rPr>
          <w:t>Biophys</w:t>
        </w:r>
        <w:proofErr w:type="spellEnd"/>
        <w:r>
          <w:rPr>
            <w:color w:val="000000"/>
          </w:rPr>
          <w:t xml:space="preserve"> Res </w:t>
        </w:r>
        <w:proofErr w:type="spellStart"/>
        <w:r>
          <w:rPr>
            <w:color w:val="000000"/>
          </w:rPr>
          <w:t>Commun</w:t>
        </w:r>
        <w:proofErr w:type="spellEnd"/>
        <w:r>
          <w:rPr>
            <w:color w:val="000000"/>
          </w:rPr>
          <w:t xml:space="preserve"> 34:322–327</w:t>
        </w:r>
      </w:hyperlink>
    </w:p>
    <w:p w14:paraId="000000AB"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15. </w:t>
      </w:r>
      <w:r>
        <w:rPr>
          <w:color w:val="000000"/>
        </w:rPr>
        <w:tab/>
      </w:r>
      <w:hyperlink r:id="rId34">
        <w:r>
          <w:rPr>
            <w:color w:val="000000"/>
          </w:rPr>
          <w:t xml:space="preserve">Kay RR, Fraser D, Johnston IR (1972) A method for the rapid isolation of nuclear membranes from rat liver. </w:t>
        </w:r>
        <w:proofErr w:type="spellStart"/>
        <w:r>
          <w:rPr>
            <w:color w:val="000000"/>
          </w:rPr>
          <w:t>Characterisation</w:t>
        </w:r>
        <w:proofErr w:type="spellEnd"/>
        <w:r>
          <w:rPr>
            <w:color w:val="000000"/>
          </w:rPr>
          <w:t xml:space="preserve"> of the membrane preparation and its associated DNA polymerase. Eur J </w:t>
        </w:r>
        <w:proofErr w:type="spellStart"/>
        <w:r>
          <w:rPr>
            <w:color w:val="000000"/>
          </w:rPr>
          <w:t>Biochem</w:t>
        </w:r>
        <w:proofErr w:type="spellEnd"/>
        <w:r>
          <w:rPr>
            <w:color w:val="000000"/>
          </w:rPr>
          <w:t xml:space="preserve"> 30:145–154</w:t>
        </w:r>
      </w:hyperlink>
    </w:p>
    <w:p w14:paraId="000000AC" w14:textId="77777777" w:rsidR="000F1BDE" w:rsidRDefault="003B060E">
      <w:pPr>
        <w:widowControl w:val="0"/>
        <w:pBdr>
          <w:top w:val="nil"/>
          <w:left w:val="nil"/>
          <w:bottom w:val="nil"/>
          <w:right w:val="nil"/>
          <w:between w:val="nil"/>
        </w:pBdr>
        <w:spacing w:after="220" w:line="240" w:lineRule="auto"/>
        <w:ind w:left="440" w:hanging="440"/>
        <w:rPr>
          <w:color w:val="000000"/>
        </w:rPr>
      </w:pPr>
      <w:r>
        <w:rPr>
          <w:color w:val="000000"/>
        </w:rPr>
        <w:t xml:space="preserve">16. </w:t>
      </w:r>
      <w:r>
        <w:rPr>
          <w:color w:val="000000"/>
        </w:rPr>
        <w:tab/>
      </w:r>
      <w:hyperlink r:id="rId35">
        <w:proofErr w:type="spellStart"/>
        <w:r>
          <w:rPr>
            <w:color w:val="000000"/>
          </w:rPr>
          <w:t>Berezney</w:t>
        </w:r>
        <w:proofErr w:type="spellEnd"/>
        <w:r>
          <w:rPr>
            <w:color w:val="000000"/>
          </w:rPr>
          <w:t xml:space="preserve"> R, Coffey DS (1974) Identification of a nuclear protein matrix. </w:t>
        </w:r>
        <w:proofErr w:type="spellStart"/>
        <w:r>
          <w:rPr>
            <w:color w:val="000000"/>
          </w:rPr>
          <w:t>Biochem</w:t>
        </w:r>
        <w:proofErr w:type="spellEnd"/>
        <w:r>
          <w:rPr>
            <w:color w:val="000000"/>
          </w:rPr>
          <w:t xml:space="preserve"> </w:t>
        </w:r>
        <w:proofErr w:type="spellStart"/>
        <w:r>
          <w:rPr>
            <w:color w:val="000000"/>
          </w:rPr>
          <w:t>Biophys</w:t>
        </w:r>
        <w:proofErr w:type="spellEnd"/>
        <w:r>
          <w:rPr>
            <w:color w:val="000000"/>
          </w:rPr>
          <w:t xml:space="preserve"> Res </w:t>
        </w:r>
        <w:proofErr w:type="spellStart"/>
        <w:r>
          <w:rPr>
            <w:color w:val="000000"/>
          </w:rPr>
          <w:t>Commun</w:t>
        </w:r>
        <w:proofErr w:type="spellEnd"/>
        <w:r>
          <w:rPr>
            <w:color w:val="000000"/>
          </w:rPr>
          <w:t xml:space="preserve"> 60:1410–1417</w:t>
        </w:r>
      </w:hyperlink>
    </w:p>
    <w:p w14:paraId="000000AD" w14:textId="77777777" w:rsidR="000F1BDE" w:rsidRDefault="000F1BDE">
      <w:pPr>
        <w:widowControl w:val="0"/>
        <w:pBdr>
          <w:top w:val="nil"/>
          <w:left w:val="nil"/>
          <w:bottom w:val="nil"/>
          <w:right w:val="nil"/>
          <w:between w:val="nil"/>
        </w:pBdr>
      </w:pPr>
    </w:p>
    <w:p w14:paraId="000000AE" w14:textId="77777777" w:rsidR="000F1BDE" w:rsidRDefault="000F1BDE">
      <w:pPr>
        <w:widowControl w:val="0"/>
        <w:pBdr>
          <w:top w:val="nil"/>
          <w:left w:val="nil"/>
          <w:bottom w:val="nil"/>
          <w:right w:val="nil"/>
          <w:between w:val="nil"/>
        </w:pBdr>
      </w:pPr>
    </w:p>
    <w:p w14:paraId="000000AF" w14:textId="77777777" w:rsidR="000F1BDE" w:rsidRDefault="000F1BDE">
      <w:pPr>
        <w:widowControl w:val="0"/>
        <w:pBdr>
          <w:top w:val="nil"/>
          <w:left w:val="nil"/>
          <w:bottom w:val="nil"/>
          <w:right w:val="nil"/>
          <w:between w:val="nil"/>
        </w:pBdr>
      </w:pPr>
    </w:p>
    <w:p w14:paraId="000000B0" w14:textId="24B541E1" w:rsidR="000F1BDE" w:rsidRPr="00D96E48" w:rsidRDefault="003B060E" w:rsidP="00D96E48">
      <w:pPr>
        <w:rPr>
          <w:rFonts w:eastAsia="Times New Roman"/>
          <w:color w:val="000000" w:themeColor="text1"/>
          <w:lang w:val="en-US"/>
        </w:rPr>
      </w:pPr>
      <w:r>
        <w:rPr>
          <w:b/>
        </w:rPr>
        <w:t>Figure 1. Overview of Protect-seq in HCT116 cells.</w:t>
      </w:r>
      <w:r>
        <w:t xml:space="preserve"> (A) Cartoon schematic of Protect-seq. Chromatin in grey/</w:t>
      </w:r>
      <w:r>
        <w:t xml:space="preserve">black and nucleases depicted in red scissors. (B) Microscopy images of untreated (non-digested) and treated (digested) nuclei stained with DAPI. </w:t>
      </w:r>
      <w:r w:rsidR="00D96E48">
        <w:t>Reproduced from Spracklin and Pradhan, Protect-seq: genome-wide profiling of nuclease inaccessible domains reveals physical properties of chromatin</w:t>
      </w:r>
      <w:r w:rsidR="00D96E48" w:rsidRPr="00D96E48">
        <w:rPr>
          <w:color w:val="000000" w:themeColor="text1"/>
        </w:rPr>
        <w:t xml:space="preserve">, </w:t>
      </w:r>
      <w:r w:rsidR="00D96E48" w:rsidRPr="00D96E48">
        <w:rPr>
          <w:rFonts w:eastAsia="Times New Roman"/>
          <w:i/>
          <w:iCs/>
          <w:color w:val="000000" w:themeColor="text1"/>
          <w:bdr w:val="none" w:sz="0" w:space="0" w:color="auto" w:frame="1"/>
          <w:shd w:val="clear" w:color="auto" w:fill="FFFFFF"/>
          <w:lang w:val="en-US"/>
        </w:rPr>
        <w:t>Nucleic Acids Research</w:t>
      </w:r>
      <w:r w:rsidR="00D96E48" w:rsidRPr="00D96E48">
        <w:rPr>
          <w:rFonts w:eastAsia="Times New Roman"/>
          <w:color w:val="000000" w:themeColor="text1"/>
          <w:shd w:val="clear" w:color="auto" w:fill="FFFFFF"/>
          <w:lang w:val="en-US"/>
        </w:rPr>
        <w:t>,</w:t>
      </w:r>
      <w:r w:rsidR="00D96E48">
        <w:rPr>
          <w:rFonts w:eastAsia="Times New Roman"/>
          <w:color w:val="000000" w:themeColor="text1"/>
          <w:shd w:val="clear" w:color="auto" w:fill="FFFFFF"/>
          <w:lang w:val="en-US"/>
        </w:rPr>
        <w:t xml:space="preserve"> </w:t>
      </w:r>
      <w:r w:rsidR="00D96E48" w:rsidRPr="00D96E48">
        <w:rPr>
          <w:color w:val="000000" w:themeColor="text1"/>
        </w:rPr>
        <w:t>2020</w:t>
      </w:r>
      <w:r w:rsidR="00D96E48">
        <w:rPr>
          <w:color w:val="000000" w:themeColor="text1"/>
        </w:rPr>
        <w:t>,</w:t>
      </w:r>
      <w:r w:rsidR="00D96E48" w:rsidRPr="00D96E48">
        <w:rPr>
          <w:rFonts w:eastAsia="Times New Roman"/>
          <w:color w:val="000000" w:themeColor="text1"/>
          <w:shd w:val="clear" w:color="auto" w:fill="FFFFFF"/>
          <w:lang w:val="en-US"/>
        </w:rPr>
        <w:t xml:space="preserve"> Volume 48, Issue 3</w:t>
      </w:r>
      <w:r w:rsidR="00D96E48">
        <w:rPr>
          <w:rFonts w:eastAsia="Times New Roman"/>
          <w:color w:val="000000" w:themeColor="text1"/>
          <w:lang w:val="en-US"/>
        </w:rPr>
        <w:t xml:space="preserve">, e16, </w:t>
      </w:r>
      <w:r w:rsidR="00D96E48">
        <w:t xml:space="preserve">by permission from Oxford University Press. </w:t>
      </w:r>
      <w:r>
        <w:t>(C) Gel electrophoresis image of a typical Protect-seq experiment. Lane 1 is a 2-log DNA Ladder (NEB#N3200S). L</w:t>
      </w:r>
      <w:r>
        <w:t xml:space="preserve">ane 2 is empty. Lane 3 is undigested genomic DNA. Lane 4 is nuclei digested with DNase only. Lane 5 is nuclei digested with </w:t>
      </w:r>
      <w:proofErr w:type="spellStart"/>
      <w:r>
        <w:t>MNase</w:t>
      </w:r>
      <w:proofErr w:type="spellEnd"/>
      <w:r>
        <w:t xml:space="preserve"> only. Lane 6 is nuclei digested with both DNase I and </w:t>
      </w:r>
      <w:proofErr w:type="spellStart"/>
      <w:r>
        <w:t>MNase</w:t>
      </w:r>
      <w:proofErr w:type="spellEnd"/>
      <w:r>
        <w:t xml:space="preserve"> (Protect-seq method). (D) </w:t>
      </w:r>
      <w:proofErr w:type="spellStart"/>
      <w:r>
        <w:t>Bioanalyer</w:t>
      </w:r>
      <w:proofErr w:type="spellEnd"/>
      <w:r>
        <w:t xml:space="preserve"> trace of a typical experiment</w:t>
      </w:r>
      <w:r>
        <w:t xml:space="preserve"> after DNA purification and NGS library preparation. Note: NEB adapters are around 120 nucleotides. LM: lower marker, UM: upper marker are internal standards. (E) Genome browser of example region (chr8: 60-75M) of Protect-seq and </w:t>
      </w:r>
      <w:proofErr w:type="spellStart"/>
      <w:r>
        <w:t>DNaseI</w:t>
      </w:r>
      <w:proofErr w:type="spellEnd"/>
      <w:r>
        <w:t>-seq, representing i</w:t>
      </w:r>
      <w:r>
        <w:t xml:space="preserve">naccessible and accessible chromatin, respectively. Protect-seq signal track (GSE135580) is represented as log2ratio (treatment/input) and </w:t>
      </w:r>
      <w:proofErr w:type="spellStart"/>
      <w:r>
        <w:t>DNaseI</w:t>
      </w:r>
      <w:proofErr w:type="spellEnd"/>
      <w:r>
        <w:t>-seq signal track is reprocessed from ENCODE (ENCSR000ENM) and represented as reads per genomic coverage.</w:t>
      </w:r>
    </w:p>
    <w:sectPr w:rsidR="000F1BDE" w:rsidRPr="00D96E48">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4E0E" w14:textId="77777777" w:rsidR="003B060E" w:rsidRDefault="003B060E" w:rsidP="0018077A">
      <w:pPr>
        <w:spacing w:line="240" w:lineRule="auto"/>
      </w:pPr>
      <w:r>
        <w:separator/>
      </w:r>
    </w:p>
  </w:endnote>
  <w:endnote w:type="continuationSeparator" w:id="0">
    <w:p w14:paraId="5C525A6C" w14:textId="77777777" w:rsidR="003B060E" w:rsidRDefault="003B060E" w:rsidP="00180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4668" w14:textId="77777777" w:rsidR="0018077A" w:rsidRDefault="0018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2EBF" w14:textId="77777777" w:rsidR="0018077A" w:rsidRDefault="00180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CD27" w14:textId="77777777" w:rsidR="0018077A" w:rsidRDefault="0018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D461" w14:textId="77777777" w:rsidR="003B060E" w:rsidRDefault="003B060E" w:rsidP="0018077A">
      <w:pPr>
        <w:spacing w:line="240" w:lineRule="auto"/>
      </w:pPr>
      <w:r>
        <w:separator/>
      </w:r>
    </w:p>
  </w:footnote>
  <w:footnote w:type="continuationSeparator" w:id="0">
    <w:p w14:paraId="3D3E33B8" w14:textId="77777777" w:rsidR="003B060E" w:rsidRDefault="003B060E" w:rsidP="001807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77D5" w14:textId="77777777" w:rsidR="0018077A" w:rsidRDefault="00180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1A06" w14:textId="77777777" w:rsidR="0018077A" w:rsidRDefault="00180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8962" w14:textId="77777777" w:rsidR="0018077A" w:rsidRDefault="0018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1EB"/>
    <w:multiLevelType w:val="multilevel"/>
    <w:tmpl w:val="04743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F30EB7"/>
    <w:multiLevelType w:val="multilevel"/>
    <w:tmpl w:val="863AE2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BD3B5A"/>
    <w:multiLevelType w:val="multilevel"/>
    <w:tmpl w:val="3E9C5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E23B57"/>
    <w:multiLevelType w:val="multilevel"/>
    <w:tmpl w:val="7A8A65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480844"/>
    <w:multiLevelType w:val="multilevel"/>
    <w:tmpl w:val="B810E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37E1EDD"/>
    <w:multiLevelType w:val="multilevel"/>
    <w:tmpl w:val="893EA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50609E"/>
    <w:multiLevelType w:val="multilevel"/>
    <w:tmpl w:val="C3D44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B8621E"/>
    <w:multiLevelType w:val="multilevel"/>
    <w:tmpl w:val="DBB2B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22668FA"/>
    <w:multiLevelType w:val="multilevel"/>
    <w:tmpl w:val="18C45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28353D9"/>
    <w:multiLevelType w:val="multilevel"/>
    <w:tmpl w:val="FA1C85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CE938A7"/>
    <w:multiLevelType w:val="multilevel"/>
    <w:tmpl w:val="26C23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2"/>
  </w:num>
  <w:num w:numId="3">
    <w:abstractNumId w:val="8"/>
  </w:num>
  <w:num w:numId="4">
    <w:abstractNumId w:val="4"/>
  </w:num>
  <w:num w:numId="5">
    <w:abstractNumId w:val="5"/>
  </w:num>
  <w:num w:numId="6">
    <w:abstractNumId w:val="10"/>
  </w:num>
  <w:num w:numId="7">
    <w:abstractNumId w:val="3"/>
  </w:num>
  <w:num w:numId="8">
    <w:abstractNumId w:val="0"/>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X173L431A721E544"/>
    <w:docVar w:name="paperpile-doc-name" w:val="MiMB_Protect-seq.docx"/>
  </w:docVars>
  <w:rsids>
    <w:rsidRoot w:val="000F1BDE"/>
    <w:rsid w:val="000F1BDE"/>
    <w:rsid w:val="0018077A"/>
    <w:rsid w:val="003B060E"/>
    <w:rsid w:val="0065565A"/>
    <w:rsid w:val="0068140A"/>
    <w:rsid w:val="007074FD"/>
    <w:rsid w:val="007849C1"/>
    <w:rsid w:val="00D96E48"/>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5B375"/>
  <w15:docId w15:val="{7069BDC9-7A9C-8645-B2E1-D8EB0B8D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8077A"/>
    <w:pPr>
      <w:tabs>
        <w:tab w:val="center" w:pos="4680"/>
        <w:tab w:val="right" w:pos="9360"/>
      </w:tabs>
      <w:spacing w:line="240" w:lineRule="auto"/>
    </w:pPr>
  </w:style>
  <w:style w:type="character" w:customStyle="1" w:styleId="HeaderChar">
    <w:name w:val="Header Char"/>
    <w:basedOn w:val="DefaultParagraphFont"/>
    <w:link w:val="Header"/>
    <w:uiPriority w:val="99"/>
    <w:rsid w:val="0018077A"/>
  </w:style>
  <w:style w:type="paragraph" w:styleId="Footer">
    <w:name w:val="footer"/>
    <w:basedOn w:val="Normal"/>
    <w:link w:val="FooterChar"/>
    <w:uiPriority w:val="99"/>
    <w:unhideWhenUsed/>
    <w:rsid w:val="0018077A"/>
    <w:pPr>
      <w:tabs>
        <w:tab w:val="center" w:pos="4680"/>
        <w:tab w:val="right" w:pos="9360"/>
      </w:tabs>
      <w:spacing w:line="240" w:lineRule="auto"/>
    </w:pPr>
  </w:style>
  <w:style w:type="character" w:customStyle="1" w:styleId="FooterChar">
    <w:name w:val="Footer Char"/>
    <w:basedOn w:val="DefaultParagraphFont"/>
    <w:link w:val="Footer"/>
    <w:uiPriority w:val="99"/>
    <w:rsid w:val="0018077A"/>
  </w:style>
  <w:style w:type="character" w:styleId="Emphasis">
    <w:name w:val="Emphasis"/>
    <w:basedOn w:val="DefaultParagraphFont"/>
    <w:uiPriority w:val="20"/>
    <w:qFormat/>
    <w:rsid w:val="00D96E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87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perpile.com/c/IgPYDi/Ijmh" TargetMode="External"/><Relationship Id="rId18" Type="http://schemas.openxmlformats.org/officeDocument/2006/relationships/hyperlink" Target="https://paperpile.com/c/IgPYDi/3Zke" TargetMode="External"/><Relationship Id="rId26" Type="http://schemas.openxmlformats.org/officeDocument/2006/relationships/hyperlink" Target="http://paperpile.com/b/IgPYDi/yyoa" TargetMode="External"/><Relationship Id="rId39" Type="http://schemas.openxmlformats.org/officeDocument/2006/relationships/footer" Target="footer2.xml"/><Relationship Id="rId21" Type="http://schemas.openxmlformats.org/officeDocument/2006/relationships/hyperlink" Target="http://paperpile.com/b/IgPYDi/CMnT" TargetMode="External"/><Relationship Id="rId34" Type="http://schemas.openxmlformats.org/officeDocument/2006/relationships/hyperlink" Target="http://paperpile.com/b/IgPYDi/XaQa" TargetMode="External"/><Relationship Id="rId42" Type="http://schemas.openxmlformats.org/officeDocument/2006/relationships/fontTable" Target="fontTable.xml"/><Relationship Id="rId7" Type="http://schemas.openxmlformats.org/officeDocument/2006/relationships/hyperlink" Target="https://paperpile.com/c/IgPYDi/j9QK" TargetMode="External"/><Relationship Id="rId2" Type="http://schemas.openxmlformats.org/officeDocument/2006/relationships/styles" Target="styles.xml"/><Relationship Id="rId16" Type="http://schemas.openxmlformats.org/officeDocument/2006/relationships/hyperlink" Target="https://paperpile.com/c/IgPYDi/qZsL" TargetMode="External"/><Relationship Id="rId20" Type="http://schemas.openxmlformats.org/officeDocument/2006/relationships/hyperlink" Target="http://paperpile.com/b/IgPYDi/j9QK" TargetMode="External"/><Relationship Id="rId29" Type="http://schemas.openxmlformats.org/officeDocument/2006/relationships/hyperlink" Target="http://paperpile.com/b/IgPYDi/qZsL"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perpile.com/c/IgPYDi/yyoa" TargetMode="External"/><Relationship Id="rId24" Type="http://schemas.openxmlformats.org/officeDocument/2006/relationships/hyperlink" Target="http://paperpile.com/b/IgPYDi/gnxL" TargetMode="External"/><Relationship Id="rId32" Type="http://schemas.openxmlformats.org/officeDocument/2006/relationships/hyperlink" Target="http://paperpile.com/b/IgPYDi/f4n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aperpile.com/c/IgPYDi/lOFr" TargetMode="External"/><Relationship Id="rId23" Type="http://schemas.openxmlformats.org/officeDocument/2006/relationships/hyperlink" Target="http://paperpile.com/b/IgPYDi/lOFr" TargetMode="External"/><Relationship Id="rId28" Type="http://schemas.openxmlformats.org/officeDocument/2006/relationships/hyperlink" Target="http://paperpile.com/b/IgPYDi/Ijmh" TargetMode="External"/><Relationship Id="rId36" Type="http://schemas.openxmlformats.org/officeDocument/2006/relationships/header" Target="header1.xml"/><Relationship Id="rId10" Type="http://schemas.openxmlformats.org/officeDocument/2006/relationships/hyperlink" Target="https://paperpile.com/c/IgPYDi/lOFr" TargetMode="External"/><Relationship Id="rId19" Type="http://schemas.openxmlformats.org/officeDocument/2006/relationships/hyperlink" Target="https://paperpile.com/c/IgPYDi/f4n5+ve61+XaQa+siYo" TargetMode="External"/><Relationship Id="rId31" Type="http://schemas.openxmlformats.org/officeDocument/2006/relationships/hyperlink" Target="http://paperpile.com/b/IgPYDi/3Zke" TargetMode="External"/><Relationship Id="rId4" Type="http://schemas.openxmlformats.org/officeDocument/2006/relationships/webSettings" Target="webSettings.xml"/><Relationship Id="rId9" Type="http://schemas.openxmlformats.org/officeDocument/2006/relationships/hyperlink" Target="https://paperpile.com/c/IgPYDi/4pI8" TargetMode="External"/><Relationship Id="rId14" Type="http://schemas.openxmlformats.org/officeDocument/2006/relationships/hyperlink" Target="https://paperpile.com/c/IgPYDi/lOFr" TargetMode="External"/><Relationship Id="rId22" Type="http://schemas.openxmlformats.org/officeDocument/2006/relationships/hyperlink" Target="http://paperpile.com/b/IgPYDi/i2br" TargetMode="External"/><Relationship Id="rId27" Type="http://schemas.openxmlformats.org/officeDocument/2006/relationships/hyperlink" Target="http://paperpile.com/b/IgPYDi/ZeXv" TargetMode="External"/><Relationship Id="rId30" Type="http://schemas.openxmlformats.org/officeDocument/2006/relationships/hyperlink" Target="http://paperpile.com/b/IgPYDi/5MHM" TargetMode="External"/><Relationship Id="rId35" Type="http://schemas.openxmlformats.org/officeDocument/2006/relationships/hyperlink" Target="http://paperpile.com/b/IgPYDi/siYo" TargetMode="External"/><Relationship Id="rId43" Type="http://schemas.openxmlformats.org/officeDocument/2006/relationships/theme" Target="theme/theme1.xml"/><Relationship Id="rId8" Type="http://schemas.openxmlformats.org/officeDocument/2006/relationships/hyperlink" Target="https://paperpile.com/c/IgPYDi/CMnT+i2br+lOFr+gnxL" TargetMode="External"/><Relationship Id="rId3" Type="http://schemas.openxmlformats.org/officeDocument/2006/relationships/settings" Target="settings.xml"/><Relationship Id="rId12" Type="http://schemas.openxmlformats.org/officeDocument/2006/relationships/hyperlink" Target="https://paperpile.com/c/IgPYDi/ZeXv" TargetMode="External"/><Relationship Id="rId17" Type="http://schemas.openxmlformats.org/officeDocument/2006/relationships/hyperlink" Target="https://paperpile.com/c/IgPYDi/5MHM" TargetMode="External"/><Relationship Id="rId25" Type="http://schemas.openxmlformats.org/officeDocument/2006/relationships/hyperlink" Target="http://paperpile.com/b/IgPYDi/4pI8" TargetMode="External"/><Relationship Id="rId33" Type="http://schemas.openxmlformats.org/officeDocument/2006/relationships/hyperlink" Target="http://paperpile.com/b/IgPYDi/ve6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2660</Words>
  <Characters>15167</Characters>
  <Application>Microsoft Office Word</Application>
  <DocSecurity>0</DocSecurity>
  <Lines>126</Lines>
  <Paragraphs>35</Paragraphs>
  <ScaleCrop>false</ScaleCrop>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Spracklin, George</cp:lastModifiedBy>
  <cp:revision>8</cp:revision>
  <dcterms:created xsi:type="dcterms:W3CDTF">2021-08-30T15:21:00Z</dcterms:created>
  <dcterms:modified xsi:type="dcterms:W3CDTF">2021-08-30T15:37:00Z</dcterms:modified>
</cp:coreProperties>
</file>