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37CB" w14:textId="77777777" w:rsidR="001D0A6E" w:rsidRDefault="00E52BD3">
      <w:pPr>
        <w:spacing w:after="14" w:line="259" w:lineRule="auto"/>
        <w:ind w:firstLine="0"/>
        <w:jc w:val="left"/>
      </w:pPr>
      <w:r>
        <w:rPr>
          <w:rFonts w:ascii="Calibri" w:eastAsia="Calibri" w:hAnsi="Calibri" w:cs="Calibri"/>
          <w:b/>
          <w:sz w:val="29"/>
        </w:rPr>
        <w:t>Chromatin Accessibility Methods</w:t>
      </w:r>
    </w:p>
    <w:p w14:paraId="7D43223C" w14:textId="77777777" w:rsidR="001D0A6E" w:rsidRDefault="00E52BD3">
      <w:pPr>
        <w:pStyle w:val="Heading1"/>
        <w:spacing w:after="228"/>
        <w:ind w:left="-5"/>
      </w:pPr>
      <w:r>
        <w:t>Georgi K. Marinov</w:t>
      </w:r>
      <w:r>
        <w:rPr>
          <w:rFonts w:ascii="Cambria" w:eastAsia="Cambria" w:hAnsi="Cambria" w:cs="Cambria"/>
          <w:b w:val="0"/>
          <w:vertAlign w:val="superscript"/>
        </w:rPr>
        <w:t xml:space="preserve">1 </w:t>
      </w:r>
      <w:r>
        <w:rPr>
          <w:b w:val="0"/>
        </w:rPr>
        <w:t xml:space="preserve">and </w:t>
      </w:r>
      <w:r>
        <w:t>William J. Greenleaf</w:t>
      </w:r>
      <w:r>
        <w:rPr>
          <w:rFonts w:ascii="Cambria" w:eastAsia="Cambria" w:hAnsi="Cambria" w:cs="Cambria"/>
          <w:b w:val="0"/>
          <w:vertAlign w:val="superscript"/>
        </w:rPr>
        <w:t>1,3,</w:t>
      </w:r>
      <w:r>
        <w:rPr>
          <w:rFonts w:ascii="Cambria" w:eastAsia="Cambria" w:hAnsi="Cambria" w:cs="Cambria"/>
          <w:vertAlign w:val="superscript"/>
        </w:rPr>
        <w:footnoteReference w:id="1"/>
      </w:r>
      <w:r>
        <w:rPr>
          <w:rFonts w:ascii="Cambria" w:eastAsia="Cambria" w:hAnsi="Cambria" w:cs="Cambria"/>
          <w:b w:val="0"/>
          <w:vertAlign w:val="superscript"/>
        </w:rPr>
        <w:t>,</w:t>
      </w:r>
      <w:r>
        <w:rPr>
          <w:rFonts w:ascii="Cambria" w:eastAsia="Cambria" w:hAnsi="Cambria" w:cs="Cambria"/>
          <w:vertAlign w:val="superscript"/>
        </w:rPr>
        <w:footnoteReference w:id="2"/>
      </w:r>
    </w:p>
    <w:p w14:paraId="1385608B" w14:textId="77777777" w:rsidR="001D0A6E" w:rsidRDefault="00E52BD3">
      <w:pPr>
        <w:spacing w:after="4" w:line="265" w:lineRule="auto"/>
        <w:ind w:left="-5" w:hanging="10"/>
        <w:jc w:val="left"/>
      </w:pPr>
      <w:r>
        <w:rPr>
          <w:vertAlign w:val="superscript"/>
        </w:rPr>
        <w:t>1</w:t>
      </w:r>
      <w:r>
        <w:rPr>
          <w:rFonts w:ascii="Calibri" w:eastAsia="Calibri" w:hAnsi="Calibri" w:cs="Calibri"/>
          <w:i/>
        </w:rPr>
        <w:t>Department of Genetics, Stanford University, Stanford, CA 94305, USA</w:t>
      </w:r>
    </w:p>
    <w:p w14:paraId="7ED57B00" w14:textId="77777777" w:rsidR="001D0A6E" w:rsidRDefault="00E52BD3">
      <w:pPr>
        <w:spacing w:after="4" w:line="265" w:lineRule="auto"/>
        <w:ind w:left="-5" w:hanging="10"/>
        <w:jc w:val="left"/>
      </w:pPr>
      <w:r>
        <w:rPr>
          <w:vertAlign w:val="superscript"/>
        </w:rPr>
        <w:t>2</w:t>
      </w:r>
      <w:r>
        <w:rPr>
          <w:rFonts w:ascii="Calibri" w:eastAsia="Calibri" w:hAnsi="Calibri" w:cs="Calibri"/>
          <w:i/>
        </w:rPr>
        <w:t>Department of Computer Science, Stanford University, Stanford, CA 94305, USA</w:t>
      </w:r>
    </w:p>
    <w:p w14:paraId="5EDCAC47" w14:textId="77777777" w:rsidR="001D0A6E" w:rsidRDefault="00E52BD3">
      <w:pPr>
        <w:spacing w:after="4" w:line="265" w:lineRule="auto"/>
        <w:ind w:left="-5" w:hanging="10"/>
        <w:jc w:val="left"/>
      </w:pPr>
      <w:r>
        <w:rPr>
          <w:vertAlign w:val="superscript"/>
        </w:rPr>
        <w:t>3</w:t>
      </w:r>
      <w:r>
        <w:rPr>
          <w:rFonts w:ascii="Calibri" w:eastAsia="Calibri" w:hAnsi="Calibri" w:cs="Calibri"/>
          <w:i/>
        </w:rPr>
        <w:t>Center for Personal Dynamic Regulomes, Stanford University, Stanford, California 94305,</w:t>
      </w:r>
    </w:p>
    <w:p w14:paraId="52CA149B" w14:textId="77777777" w:rsidR="001D0A6E" w:rsidRDefault="00E52BD3">
      <w:pPr>
        <w:spacing w:after="4" w:line="265" w:lineRule="auto"/>
        <w:ind w:left="-5" w:hanging="10"/>
        <w:jc w:val="left"/>
      </w:pPr>
      <w:r>
        <w:rPr>
          <w:rFonts w:ascii="Calibri" w:eastAsia="Calibri" w:hAnsi="Calibri" w:cs="Calibri"/>
          <w:i/>
        </w:rPr>
        <w:t>USA</w:t>
      </w:r>
      <w:r>
        <w:br w:type="page"/>
      </w:r>
    </w:p>
    <w:p w14:paraId="2D855EF8" w14:textId="77777777" w:rsidR="001D0A6E" w:rsidRDefault="00E52BD3">
      <w:pPr>
        <w:spacing w:after="334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41ECF43" wp14:editId="4D021647">
                <wp:extent cx="5255997" cy="18974"/>
                <wp:effectExtent l="0" t="0" r="0" b="0"/>
                <wp:docPr id="1693" name="Group 1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997" cy="18974"/>
                          <a:chOff x="0" y="0"/>
                          <a:chExt cx="5255997" cy="18974"/>
                        </a:xfrm>
                      </wpg:grpSpPr>
                      <wps:wsp>
                        <wps:cNvPr id="2104" name="Shape 2104"/>
                        <wps:cNvSpPr/>
                        <wps:spPr>
                          <a:xfrm>
                            <a:off x="0" y="0"/>
                            <a:ext cx="5255997" cy="1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997" h="18974">
                                <a:moveTo>
                                  <a:pt x="0" y="0"/>
                                </a:moveTo>
                                <a:lnTo>
                                  <a:pt x="5255997" y="0"/>
                                </a:lnTo>
                                <a:lnTo>
                                  <a:pt x="5255997" y="18974"/>
                                </a:lnTo>
                                <a:lnTo>
                                  <a:pt x="0" y="18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" style="width:413.858pt;height:1.494pt;mso-position-horizontal-relative:char;mso-position-vertical-relative:line" coordsize="52559,189">
                <v:shape id="Shape 2105" style="position:absolute;width:52559;height:189;left:0;top:0;" coordsize="5255997,18974" path="m0,0l5255997,0l5255997,18974l0,1897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990FB5" w14:textId="77777777" w:rsidR="001D0A6E" w:rsidRDefault="00E52BD3">
      <w:pPr>
        <w:pStyle w:val="Heading1"/>
        <w:spacing w:after="216"/>
        <w:ind w:left="-5"/>
      </w:pPr>
      <w:r>
        <w:t>Preface</w:t>
      </w:r>
    </w:p>
    <w:p w14:paraId="3AFC74C3" w14:textId="07D18403" w:rsidR="001D0A6E" w:rsidRDefault="00E52BD3">
      <w:pPr>
        <w:ind w:left="-15" w:right="-15"/>
      </w:pPr>
      <w:r>
        <w:t>The genomic distribution patterns of chromatin accessibility and its dynami</w:t>
      </w:r>
      <w:r>
        <w:t xml:space="preserve">cs are key features of the regulation of gene expression and many other aspects of chromatin biology. The genomes of eukaryotes are usually packaged by </w:t>
      </w:r>
      <w:proofErr w:type="spellStart"/>
      <w:r>
        <w:t>nucleosomal</w:t>
      </w:r>
      <w:proofErr w:type="spellEnd"/>
      <w:r>
        <w:t xml:space="preserve"> particles, which have a generally strongly inhibitory effect on transcription and on the occ</w:t>
      </w:r>
      <w:r>
        <w:t xml:space="preserve">upancy of DNA by regulatory proteins. It is typically active </w:t>
      </w:r>
      <w:r>
        <w:rPr>
          <w:i/>
        </w:rPr>
        <w:t>cis</w:t>
      </w:r>
      <w:r>
        <w:t>-regulatory regions (</w:t>
      </w:r>
      <w:proofErr w:type="spellStart"/>
      <w:r>
        <w:t>cREs</w:t>
      </w:r>
      <w:proofErr w:type="spellEnd"/>
      <w:r>
        <w:t xml:space="preserve">) in the genome that are characterized by depleted </w:t>
      </w:r>
      <w:proofErr w:type="spellStart"/>
      <w:r>
        <w:t>nucleosomal</w:t>
      </w:r>
      <w:proofErr w:type="spellEnd"/>
      <w:r>
        <w:t xml:space="preserve"> occupancy and increased chromatin accessibility, which has in turn proven to be a highly useful property</w:t>
      </w:r>
      <w:r>
        <w:t xml:space="preserve"> enabling the identification of candidate </w:t>
      </w:r>
      <w:proofErr w:type="spellStart"/>
      <w:r>
        <w:t>cREs</w:t>
      </w:r>
      <w:proofErr w:type="spellEnd"/>
      <w:r>
        <w:t xml:space="preserve"> as well as the tracking of their activity across cell types and conditions as accessible DNA can be preferentially enzymatically or chemically labeled in </w:t>
      </w:r>
      <w:r>
        <w:t>numerous ways.</w:t>
      </w:r>
    </w:p>
    <w:p w14:paraId="021826CC" w14:textId="7D60DB7F" w:rsidR="001D0A6E" w:rsidRDefault="00E52BD3">
      <w:pPr>
        <w:ind w:left="-15" w:right="-15"/>
      </w:pPr>
      <w:r>
        <w:t>Technological advances in the labeling</w:t>
      </w:r>
      <w:r>
        <w:t xml:space="preserve"> and readout of accessible DNA have played a major role in driving forward our understanding of chromatin and regulatory biology over the last few decades. The last fifteen years have seen a particularly dramatic explosion in the variety and power of appro</w:t>
      </w:r>
      <w:r>
        <w:t>aches for studying chromatin accessibility, driven by two sequential technological revolutions – first the development of high-through</w:t>
      </w:r>
      <w:r w:rsidR="00BB685A">
        <w:t>p</w:t>
      </w:r>
      <w:r>
        <w:t>ut sequencing in the mid-2000s and then the advent of single-cell genomics in the 2010s. The current book aims to provide</w:t>
      </w:r>
      <w:r>
        <w:t xml:space="preserve"> a comprehensive resource covering the existing and state-of-the-art tools in the field.</w:t>
      </w:r>
    </w:p>
    <w:p w14:paraId="73951E4C" w14:textId="0BC217B9" w:rsidR="001D0A6E" w:rsidRDefault="00E52BD3">
      <w:pPr>
        <w:spacing w:after="54"/>
        <w:ind w:left="-15" w:right="-15"/>
      </w:pPr>
      <w:r>
        <w:t>We have divided the protocols in the book in several sections, depending on the different aspects of chromatin accessibility that they measure and/or approaches that t</w:t>
      </w:r>
      <w:r>
        <w:t>hey take. In the first section, bulk-cell methods for profiling chromatin accessibility and nucleosome positioning that rely on enzymatic cleavage of accessible DNA and produce information about relative accessibility are covered. The second section is ded</w:t>
      </w:r>
      <w:r>
        <w:t>icated to methods that use single-molecule and enzymatic approaches to solving the problem of mapping absolute occupancy/accessibility. The third section covers the wide array of emerging tools for mapping DNA accessibility and nucleosome positioning in si</w:t>
      </w:r>
      <w:r>
        <w:t xml:space="preserve">ngle cells, as well as a number of single-cell </w:t>
      </w:r>
      <w:proofErr w:type="spellStart"/>
      <w:r>
        <w:t>multiomics</w:t>
      </w:r>
      <w:proofErr w:type="spellEnd"/>
      <w:r>
        <w:t xml:space="preserve"> methods that simultaneously measure chromatin accessibility and other features of the cell, such as the transcriptome, the methylome, and protein markers. More recently, imaging-based methods for vi</w:t>
      </w:r>
      <w:r>
        <w:t>sualizing accessible chromatin in its nuclear context have emerged; these are included in the fourth section. The last section features computational methods for the processing and analysis of chromatin accessibility datasets. This book will serve as an ex</w:t>
      </w:r>
      <w:r>
        <w:t>tensive and useful reference for researchers studying different facets of chromatin accessibility in a wide variety of biological contexts.</w:t>
      </w:r>
    </w:p>
    <w:p w14:paraId="3014C343" w14:textId="77777777" w:rsidR="00BB685A" w:rsidRDefault="00BB685A">
      <w:pPr>
        <w:spacing w:after="54"/>
        <w:ind w:left="-15" w:right="-15"/>
      </w:pPr>
    </w:p>
    <w:tbl>
      <w:tblPr>
        <w:tblStyle w:val="TableGrid"/>
        <w:tblW w:w="825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2135"/>
      </w:tblGrid>
      <w:tr w:rsidR="001D0A6E" w14:paraId="171912D3" w14:textId="77777777">
        <w:trPr>
          <w:trHeight w:val="208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AB840AC" w14:textId="77777777" w:rsidR="001D0A6E" w:rsidRDefault="00E52BD3">
            <w:p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Stanford, CA, United States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995E904" w14:textId="77777777" w:rsidR="001D0A6E" w:rsidRDefault="00E52BD3">
            <w:pPr>
              <w:spacing w:line="259" w:lineRule="auto"/>
              <w:ind w:left="209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Georgi K. Marinov</w:t>
            </w:r>
          </w:p>
        </w:tc>
      </w:tr>
      <w:tr w:rsidR="001D0A6E" w14:paraId="7DB36E42" w14:textId="77777777">
        <w:trPr>
          <w:trHeight w:val="208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7F3F05C" w14:textId="77777777" w:rsidR="001D0A6E" w:rsidRDefault="00E52BD3">
            <w:pPr>
              <w:spacing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Stanford, CA, United States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9E820BA" w14:textId="77777777" w:rsidR="001D0A6E" w:rsidRDefault="00E52BD3">
            <w:pPr>
              <w:spacing w:line="259" w:lineRule="auto"/>
              <w:ind w:firstLine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William J. Greenleaf</w:t>
            </w:r>
          </w:p>
          <w:p w14:paraId="6BF11ACC" w14:textId="77777777" w:rsidR="00BB685A" w:rsidRDefault="00BB685A">
            <w:pPr>
              <w:spacing w:line="259" w:lineRule="auto"/>
              <w:ind w:firstLine="0"/>
              <w:rPr>
                <w:rFonts w:ascii="Calibri" w:eastAsia="Calibri" w:hAnsi="Calibri" w:cs="Calibri"/>
                <w:i/>
              </w:rPr>
            </w:pPr>
          </w:p>
          <w:p w14:paraId="143B6F4D" w14:textId="77777777" w:rsidR="00BB685A" w:rsidRDefault="00BB685A">
            <w:pPr>
              <w:spacing w:line="259" w:lineRule="auto"/>
              <w:ind w:firstLine="0"/>
              <w:rPr>
                <w:rFonts w:ascii="Calibri" w:eastAsia="Calibri" w:hAnsi="Calibri" w:cs="Calibri"/>
                <w:i/>
              </w:rPr>
            </w:pPr>
          </w:p>
          <w:p w14:paraId="214C754E" w14:textId="77777777" w:rsidR="00BB685A" w:rsidRDefault="00BB685A">
            <w:pPr>
              <w:spacing w:line="259" w:lineRule="auto"/>
              <w:ind w:firstLine="0"/>
              <w:rPr>
                <w:rFonts w:ascii="Calibri" w:eastAsia="Calibri" w:hAnsi="Calibri" w:cs="Calibri"/>
                <w:i/>
              </w:rPr>
            </w:pPr>
          </w:p>
          <w:p w14:paraId="7567A29E" w14:textId="77777777" w:rsidR="00BB685A" w:rsidRDefault="00BB685A">
            <w:pPr>
              <w:spacing w:line="259" w:lineRule="auto"/>
              <w:ind w:firstLine="0"/>
              <w:rPr>
                <w:rFonts w:ascii="Calibri" w:eastAsia="Calibri" w:hAnsi="Calibri" w:cs="Calibri"/>
                <w:i/>
              </w:rPr>
            </w:pPr>
          </w:p>
          <w:p w14:paraId="773F9AB9" w14:textId="77777777" w:rsidR="00BB685A" w:rsidRDefault="00BB685A">
            <w:pPr>
              <w:spacing w:line="259" w:lineRule="auto"/>
              <w:ind w:firstLine="0"/>
              <w:rPr>
                <w:rFonts w:ascii="Calibri" w:eastAsia="Calibri" w:hAnsi="Calibri" w:cs="Calibri"/>
                <w:i/>
              </w:rPr>
            </w:pPr>
          </w:p>
          <w:p w14:paraId="7DD4E5EC" w14:textId="77777777" w:rsidR="00BB685A" w:rsidRDefault="00BB685A">
            <w:pPr>
              <w:spacing w:line="259" w:lineRule="auto"/>
              <w:ind w:firstLine="0"/>
              <w:rPr>
                <w:rFonts w:ascii="Calibri" w:eastAsia="Calibri" w:hAnsi="Calibri" w:cs="Calibri"/>
                <w:i/>
              </w:rPr>
            </w:pPr>
          </w:p>
          <w:p w14:paraId="2458CCBF" w14:textId="6B859228" w:rsidR="00BB685A" w:rsidRDefault="00BB685A">
            <w:pPr>
              <w:spacing w:line="259" w:lineRule="auto"/>
              <w:ind w:firstLine="0"/>
            </w:pPr>
          </w:p>
        </w:tc>
      </w:tr>
    </w:tbl>
    <w:p w14:paraId="6799E6FD" w14:textId="77777777" w:rsidR="001D0A6E" w:rsidRDefault="00E52BD3">
      <w:pPr>
        <w:spacing w:after="334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41D92EF" wp14:editId="5D9ABF4D">
                <wp:extent cx="5255997" cy="18974"/>
                <wp:effectExtent l="0" t="0" r="0" b="0"/>
                <wp:docPr id="1585" name="Group 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997" cy="18974"/>
                          <a:chOff x="0" y="0"/>
                          <a:chExt cx="5255997" cy="18974"/>
                        </a:xfrm>
                      </wpg:grpSpPr>
                      <wps:wsp>
                        <wps:cNvPr id="2106" name="Shape 2106"/>
                        <wps:cNvSpPr/>
                        <wps:spPr>
                          <a:xfrm>
                            <a:off x="0" y="0"/>
                            <a:ext cx="5255997" cy="1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5997" h="18974">
                                <a:moveTo>
                                  <a:pt x="0" y="0"/>
                                </a:moveTo>
                                <a:lnTo>
                                  <a:pt x="5255997" y="0"/>
                                </a:lnTo>
                                <a:lnTo>
                                  <a:pt x="5255997" y="18974"/>
                                </a:lnTo>
                                <a:lnTo>
                                  <a:pt x="0" y="18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5" style="width:413.858pt;height:1.494pt;mso-position-horizontal-relative:char;mso-position-vertical-relative:line" coordsize="52559,189">
                <v:shape id="Shape 2107" style="position:absolute;width:52559;height:189;left:0;top:0;" coordsize="5255997,18974" path="m0,0l5255997,0l5255997,18974l0,1897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3F726C" w14:textId="77777777" w:rsidR="001D0A6E" w:rsidRDefault="00E52BD3">
      <w:pPr>
        <w:spacing w:after="216" w:line="259" w:lineRule="auto"/>
        <w:ind w:left="-5" w:hanging="10"/>
        <w:jc w:val="left"/>
      </w:pPr>
      <w:r>
        <w:rPr>
          <w:rFonts w:ascii="Calibri" w:eastAsia="Calibri" w:hAnsi="Calibri" w:cs="Calibri"/>
          <w:b/>
        </w:rPr>
        <w:t>Contents</w:t>
      </w:r>
    </w:p>
    <w:p w14:paraId="1B154C0A" w14:textId="77777777" w:rsidR="001D0A6E" w:rsidRDefault="00E52BD3">
      <w:pPr>
        <w:pStyle w:val="Heading1"/>
        <w:ind w:left="-5"/>
      </w:pPr>
      <w:r>
        <w:t>I. Bulk cleavage-based methods</w:t>
      </w:r>
    </w:p>
    <w:p w14:paraId="1B12D4F5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1.1 </w:t>
      </w:r>
      <w:r>
        <w:rPr>
          <w:b/>
        </w:rPr>
        <w:t>Genome-wide mapping of active regulatory elements using ATAC-seq</w:t>
      </w:r>
    </w:p>
    <w:p w14:paraId="3C806CC2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1.2 </w:t>
      </w:r>
      <w:r>
        <w:rPr>
          <w:b/>
        </w:rPr>
        <w:t>Mapping nucleosome location using FS-Seq</w:t>
      </w:r>
    </w:p>
    <w:p w14:paraId="25D91955" w14:textId="77777777" w:rsidR="001D0A6E" w:rsidRDefault="00E52BD3">
      <w:pPr>
        <w:spacing w:after="176" w:line="257" w:lineRule="auto"/>
        <w:ind w:left="483" w:hanging="354"/>
        <w:jc w:val="left"/>
      </w:pPr>
      <w:r>
        <w:t xml:space="preserve">1.3 </w:t>
      </w:r>
      <w:proofErr w:type="spellStart"/>
      <w:r>
        <w:rPr>
          <w:b/>
        </w:rPr>
        <w:t>NicE</w:t>
      </w:r>
      <w:proofErr w:type="spellEnd"/>
      <w:r>
        <w:rPr>
          <w:b/>
        </w:rPr>
        <w:t>-seq: a simple and quick method for accessible chromatin detection in fixed cells</w:t>
      </w:r>
    </w:p>
    <w:p w14:paraId="14AD96F7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1.4 </w:t>
      </w:r>
      <w:r>
        <w:rPr>
          <w:b/>
        </w:rPr>
        <w:t>Measuring inaccessible chromatin genome-wide using Protect-seq</w:t>
      </w:r>
    </w:p>
    <w:p w14:paraId="62854756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1.5 </w:t>
      </w:r>
      <w:r>
        <w:rPr>
          <w:b/>
        </w:rPr>
        <w:t>Determination of the chromatin openness in bacterial genomes.</w:t>
      </w:r>
    </w:p>
    <w:p w14:paraId="2E0EA4A1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1.6 </w:t>
      </w:r>
      <w:r>
        <w:rPr>
          <w:b/>
        </w:rPr>
        <w:t>Profiling Chromatin Accessibility</w:t>
      </w:r>
      <w:r>
        <w:rPr>
          <w:b/>
        </w:rPr>
        <w:t xml:space="preserve"> on Replicated DNA with </w:t>
      </w:r>
      <w:proofErr w:type="spellStart"/>
      <w:r>
        <w:rPr>
          <w:b/>
        </w:rPr>
        <w:t>repli</w:t>
      </w:r>
      <w:proofErr w:type="spellEnd"/>
      <w:r>
        <w:rPr>
          <w:b/>
        </w:rPr>
        <w:t>-ATAC-seq</w:t>
      </w:r>
    </w:p>
    <w:p w14:paraId="02CE8E08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1.7 </w:t>
      </w:r>
      <w:r>
        <w:rPr>
          <w:b/>
        </w:rPr>
        <w:t>Analysis of chromatin interaction and accessibility by Trac-looping</w:t>
      </w:r>
    </w:p>
    <w:p w14:paraId="492B7EB4" w14:textId="77777777" w:rsidR="001D0A6E" w:rsidRDefault="00E52BD3">
      <w:pPr>
        <w:spacing w:after="276" w:line="257" w:lineRule="auto"/>
        <w:ind w:left="139" w:hanging="10"/>
        <w:jc w:val="left"/>
      </w:pPr>
      <w:r>
        <w:t xml:space="preserve">1.8 </w:t>
      </w:r>
      <w:r>
        <w:rPr>
          <w:b/>
        </w:rPr>
        <w:t>Restriction enzyme-based mapping of chromatin accessibility using ORE-seq.</w:t>
      </w:r>
    </w:p>
    <w:p w14:paraId="24A8A945" w14:textId="77777777" w:rsidR="001D0A6E" w:rsidRDefault="00E52BD3">
      <w:pPr>
        <w:pStyle w:val="Heading1"/>
        <w:ind w:left="-5"/>
      </w:pPr>
      <w:r>
        <w:t>II. Methods for measuring the absolute levels of occupancy/accessi</w:t>
      </w:r>
      <w:r>
        <w:t>bility</w:t>
      </w:r>
    </w:p>
    <w:p w14:paraId="7572796E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2.1 </w:t>
      </w:r>
      <w:r>
        <w:rPr>
          <w:b/>
        </w:rPr>
        <w:t xml:space="preserve">Single-molecule mapping of chromatin </w:t>
      </w:r>
      <w:proofErr w:type="spellStart"/>
      <w:r>
        <w:rPr>
          <w:b/>
        </w:rPr>
        <w:t>accessiility</w:t>
      </w:r>
      <w:proofErr w:type="spellEnd"/>
      <w:r>
        <w:rPr>
          <w:b/>
        </w:rPr>
        <w:t xml:space="preserve"> using </w:t>
      </w:r>
      <w:proofErr w:type="spellStart"/>
      <w:r>
        <w:rPr>
          <w:b/>
        </w:rPr>
        <w:t>NOMe</w:t>
      </w:r>
      <w:proofErr w:type="spellEnd"/>
      <w:r>
        <w:rPr>
          <w:b/>
        </w:rPr>
        <w:t>-seq/</w:t>
      </w:r>
      <w:proofErr w:type="spellStart"/>
      <w:r>
        <w:rPr>
          <w:b/>
        </w:rPr>
        <w:t>dSMF</w:t>
      </w:r>
      <w:proofErr w:type="spellEnd"/>
    </w:p>
    <w:p w14:paraId="43A96819" w14:textId="77777777" w:rsidR="001D0A6E" w:rsidRDefault="00E52BD3">
      <w:pPr>
        <w:spacing w:after="267" w:line="257" w:lineRule="auto"/>
        <w:ind w:left="483" w:hanging="354"/>
        <w:jc w:val="left"/>
      </w:pPr>
      <w:r>
        <w:t xml:space="preserve">2.2 </w:t>
      </w:r>
      <w:r>
        <w:rPr>
          <w:b/>
        </w:rPr>
        <w:t>ORE-seq: genome-wide absolute occupancy measurement by restriction enzyme accessibilities</w:t>
      </w:r>
    </w:p>
    <w:p w14:paraId="550B59BA" w14:textId="77777777" w:rsidR="001D0A6E" w:rsidRDefault="00E52BD3">
      <w:pPr>
        <w:pStyle w:val="Heading1"/>
        <w:ind w:left="-5"/>
      </w:pPr>
      <w:r>
        <w:t>III. Methods for profiling chromatin accessibility at the single-cell level</w:t>
      </w:r>
    </w:p>
    <w:p w14:paraId="2F7E1BD3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3.1 </w:t>
      </w:r>
      <w:r>
        <w:rPr>
          <w:b/>
        </w:rPr>
        <w:t>S</w:t>
      </w:r>
      <w:r>
        <w:rPr>
          <w:b/>
        </w:rPr>
        <w:t>ingle-cell joint profiling of open chromatin and transcriptome by Paired-seq</w:t>
      </w:r>
    </w:p>
    <w:p w14:paraId="13FE2CAC" w14:textId="77777777" w:rsidR="001D0A6E" w:rsidRDefault="00E52BD3">
      <w:pPr>
        <w:spacing w:after="176" w:line="257" w:lineRule="auto"/>
        <w:ind w:left="483" w:hanging="354"/>
        <w:jc w:val="left"/>
      </w:pPr>
      <w:r>
        <w:t xml:space="preserve">3.2 </w:t>
      </w:r>
      <w:r>
        <w:rPr>
          <w:b/>
        </w:rPr>
        <w:t>Simultaneous single-cell profiling of the transcriptome and accessible chromatin using SHARE-seq</w:t>
      </w:r>
    </w:p>
    <w:p w14:paraId="19046CBF" w14:textId="77777777" w:rsidR="001D0A6E" w:rsidRDefault="00E52BD3">
      <w:pPr>
        <w:spacing w:after="176" w:line="257" w:lineRule="auto"/>
        <w:ind w:left="483" w:hanging="354"/>
        <w:jc w:val="left"/>
      </w:pPr>
      <w:r>
        <w:t xml:space="preserve">3.3 </w:t>
      </w:r>
      <w:r>
        <w:rPr>
          <w:b/>
        </w:rPr>
        <w:t>Simultaneous measurement of DNA methylation and nucleosome occupancy in si</w:t>
      </w:r>
      <w:r>
        <w:rPr>
          <w:b/>
        </w:rPr>
        <w:t xml:space="preserve">ngle cells using </w:t>
      </w:r>
      <w:proofErr w:type="spellStart"/>
      <w:r>
        <w:rPr>
          <w:b/>
        </w:rPr>
        <w:t>scNOMe</w:t>
      </w:r>
      <w:proofErr w:type="spellEnd"/>
      <w:r>
        <w:rPr>
          <w:b/>
        </w:rPr>
        <w:t>-seq</w:t>
      </w:r>
    </w:p>
    <w:p w14:paraId="59CC9FF2" w14:textId="77777777" w:rsidR="001D0A6E" w:rsidRDefault="00E52BD3">
      <w:pPr>
        <w:spacing w:after="176" w:line="257" w:lineRule="auto"/>
        <w:ind w:left="483" w:hanging="354"/>
        <w:jc w:val="left"/>
      </w:pPr>
      <w:r>
        <w:t xml:space="preserve">3.4 </w:t>
      </w:r>
      <w:r>
        <w:rPr>
          <w:b/>
        </w:rPr>
        <w:t xml:space="preserve">Massively parallel profiling of accessible chromatin and proteins with </w:t>
      </w:r>
      <w:proofErr w:type="spellStart"/>
      <w:r>
        <w:rPr>
          <w:b/>
        </w:rPr>
        <w:t>ASAPseq</w:t>
      </w:r>
      <w:proofErr w:type="spellEnd"/>
    </w:p>
    <w:p w14:paraId="1A20E879" w14:textId="77777777" w:rsidR="001D0A6E" w:rsidRDefault="00E52BD3">
      <w:pPr>
        <w:spacing w:after="267" w:line="257" w:lineRule="auto"/>
        <w:ind w:left="483" w:hanging="354"/>
        <w:jc w:val="left"/>
      </w:pPr>
      <w:r>
        <w:t xml:space="preserve">3.5 </w:t>
      </w:r>
      <w:r>
        <w:rPr>
          <w:b/>
        </w:rPr>
        <w:t xml:space="preserve">Concomitant sequencing of accessible chromatin and mitochondrial genomes in single cells using </w:t>
      </w:r>
      <w:proofErr w:type="spellStart"/>
      <w:r>
        <w:rPr>
          <w:b/>
        </w:rPr>
        <w:t>mtscATAC</w:t>
      </w:r>
      <w:proofErr w:type="spellEnd"/>
      <w:r>
        <w:rPr>
          <w:b/>
        </w:rPr>
        <w:t>-seq</w:t>
      </w:r>
    </w:p>
    <w:p w14:paraId="7B833076" w14:textId="77777777" w:rsidR="001D0A6E" w:rsidRDefault="00E52BD3">
      <w:pPr>
        <w:pStyle w:val="Heading1"/>
        <w:ind w:left="-5"/>
      </w:pPr>
      <w:r>
        <w:t>IV. Imaging methods for visualiza</w:t>
      </w:r>
      <w:r>
        <w:t>tion of accessible DNA</w:t>
      </w:r>
    </w:p>
    <w:p w14:paraId="72E71C25" w14:textId="77777777" w:rsidR="001D0A6E" w:rsidRDefault="00E52BD3">
      <w:pPr>
        <w:spacing w:after="176" w:line="257" w:lineRule="auto"/>
        <w:ind w:left="483" w:hanging="354"/>
        <w:jc w:val="left"/>
      </w:pPr>
      <w:r>
        <w:t xml:space="preserve">4.1 </w:t>
      </w:r>
      <w:r>
        <w:rPr>
          <w:b/>
        </w:rPr>
        <w:t>ATAC-see: A Tn5 transposase-mediated assay for detection of chromatin accessibility with imaging</w:t>
      </w:r>
    </w:p>
    <w:p w14:paraId="272FAC42" w14:textId="77777777" w:rsidR="001D0A6E" w:rsidRDefault="00E52BD3">
      <w:pPr>
        <w:spacing w:after="176" w:line="257" w:lineRule="auto"/>
        <w:ind w:left="483" w:hanging="354"/>
        <w:jc w:val="left"/>
      </w:pPr>
      <w:r>
        <w:lastRenderedPageBreak/>
        <w:t xml:space="preserve">4.2 </w:t>
      </w:r>
      <w:proofErr w:type="spellStart"/>
      <w:r>
        <w:rPr>
          <w:b/>
        </w:rPr>
        <w:t>NicE-viewSeq</w:t>
      </w:r>
      <w:proofErr w:type="spellEnd"/>
      <w:r>
        <w:rPr>
          <w:b/>
        </w:rPr>
        <w:t>: an integrative visualization and genomics method to detect accessible chromatin in fixed cells</w:t>
      </w:r>
    </w:p>
    <w:p w14:paraId="6AF01A58" w14:textId="77777777" w:rsidR="001D0A6E" w:rsidRDefault="00E52BD3">
      <w:pPr>
        <w:pStyle w:val="Heading1"/>
        <w:ind w:left="-5"/>
      </w:pPr>
      <w:r>
        <w:t>V. Computational an</w:t>
      </w:r>
      <w:r>
        <w:t>alysis of chromatin accessibility datasets</w:t>
      </w:r>
    </w:p>
    <w:p w14:paraId="182F8EEB" w14:textId="77777777" w:rsidR="001D0A6E" w:rsidRDefault="00E52BD3">
      <w:pPr>
        <w:spacing w:after="176" w:line="257" w:lineRule="auto"/>
        <w:ind w:left="139" w:hanging="10"/>
        <w:jc w:val="left"/>
      </w:pPr>
      <w:r>
        <w:t xml:space="preserve">5.1 </w:t>
      </w:r>
      <w:r>
        <w:rPr>
          <w:b/>
        </w:rPr>
        <w:t>ATAC-seq data processing</w:t>
      </w:r>
    </w:p>
    <w:p w14:paraId="738A850A" w14:textId="77777777" w:rsidR="001D0A6E" w:rsidRDefault="00E52BD3">
      <w:pPr>
        <w:pStyle w:val="Heading2"/>
        <w:ind w:left="139"/>
      </w:pPr>
      <w:r>
        <w:rPr>
          <w:b w:val="0"/>
        </w:rPr>
        <w:t xml:space="preserve">5.2 </w:t>
      </w:r>
      <w:r>
        <w:t>Deep learning on chromatin accessibility</w:t>
      </w:r>
    </w:p>
    <w:sectPr w:rsidR="001D0A6E">
      <w:footerReference w:type="even" r:id="rId6"/>
      <w:footerReference w:type="default" r:id="rId7"/>
      <w:footerReference w:type="first" r:id="rId8"/>
      <w:footnotePr>
        <w:numRestart w:val="eachPage"/>
      </w:footnotePr>
      <w:pgSz w:w="10205" w:h="14173"/>
      <w:pgMar w:top="1303" w:right="964" w:bottom="1613" w:left="964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4E6F" w14:textId="77777777" w:rsidR="00E52BD3" w:rsidRDefault="00E52BD3">
      <w:pPr>
        <w:spacing w:line="240" w:lineRule="auto"/>
      </w:pPr>
      <w:r>
        <w:separator/>
      </w:r>
    </w:p>
  </w:endnote>
  <w:endnote w:type="continuationSeparator" w:id="0">
    <w:p w14:paraId="07C6E765" w14:textId="77777777" w:rsidR="00E52BD3" w:rsidRDefault="00E52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E744" w14:textId="77777777" w:rsidR="001D0A6E" w:rsidRDefault="00E52BD3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F2DE" w14:textId="77777777" w:rsidR="001D0A6E" w:rsidRDefault="00E52BD3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CF26" w14:textId="77777777" w:rsidR="001D0A6E" w:rsidRDefault="00E52BD3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1FA6" w14:textId="77777777" w:rsidR="00E52BD3" w:rsidRDefault="00E52BD3">
      <w:pPr>
        <w:spacing w:line="259" w:lineRule="auto"/>
        <w:ind w:firstLine="0"/>
        <w:jc w:val="left"/>
      </w:pPr>
      <w:r>
        <w:separator/>
      </w:r>
    </w:p>
  </w:footnote>
  <w:footnote w:type="continuationSeparator" w:id="0">
    <w:p w14:paraId="5AA34440" w14:textId="77777777" w:rsidR="00E52BD3" w:rsidRDefault="00E52BD3">
      <w:pPr>
        <w:spacing w:line="259" w:lineRule="auto"/>
        <w:ind w:firstLine="0"/>
        <w:jc w:val="left"/>
      </w:pPr>
      <w:r>
        <w:continuationSeparator/>
      </w:r>
    </w:p>
  </w:footnote>
  <w:footnote w:id="1">
    <w:p w14:paraId="688ECB11" w14:textId="77777777" w:rsidR="001D0A6E" w:rsidRDefault="00E52BD3">
      <w:pPr>
        <w:pStyle w:val="footnotedescription"/>
        <w:spacing w:after="4"/>
      </w:pPr>
      <w:r>
        <w:rPr>
          <w:rStyle w:val="footnotemark"/>
        </w:rPr>
        <w:footnoteRef/>
      </w:r>
      <w:r>
        <w:t xml:space="preserve"> Department of Applied Physics, Stanford University, Stanford, California 94305, USA</w:t>
      </w:r>
    </w:p>
  </w:footnote>
  <w:footnote w:id="2">
    <w:p w14:paraId="491143E3" w14:textId="77777777" w:rsidR="001D0A6E" w:rsidRDefault="00E52BD3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t xml:space="preserve">Chan Zuckerberg </w:t>
      </w:r>
      <w:proofErr w:type="spellStart"/>
      <w:r>
        <w:t>Biohub</w:t>
      </w:r>
      <w:proofErr w:type="spellEnd"/>
      <w:r>
        <w:t>, San Francisco, California, USA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6E"/>
    <w:rsid w:val="001D0A6E"/>
    <w:rsid w:val="00BB685A"/>
    <w:rsid w:val="00E5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2838"/>
  <w15:docId w15:val="{329DA6EB-6830-4B40-9D75-FC5EDC1F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2" w:lineRule="auto"/>
      <w:ind w:firstLine="289"/>
      <w:jc w:val="both"/>
    </w:pPr>
    <w:rPr>
      <w:rFonts w:ascii="Cambria" w:eastAsia="Cambria" w:hAnsi="Cambria" w:cs="Cambr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9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6" w:line="257" w:lineRule="auto"/>
      <w:ind w:left="154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"/>
    </w:pPr>
    <w:rPr>
      <w:rFonts w:ascii="Calibri" w:eastAsia="Calibri" w:hAnsi="Calibri" w:cs="Calibri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Kolev Marinov</dc:creator>
  <cp:keywords/>
  <cp:lastModifiedBy>Georgi Kolev Marinov</cp:lastModifiedBy>
  <cp:revision>2</cp:revision>
  <dcterms:created xsi:type="dcterms:W3CDTF">2022-04-18T18:10:00Z</dcterms:created>
  <dcterms:modified xsi:type="dcterms:W3CDTF">2022-04-18T18:10:00Z</dcterms:modified>
</cp:coreProperties>
</file>